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pon_sch14a.htm"/>
      <w:bookmarkStart w:id="1" w:name="ksxpon_sch14a"/>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SECURITIES AND EXCHANGE COMMISSION</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2" w:name="xdx_90F_edei--DocumentType_dxL_c20250101"/>
      <w:bookmarkEnd w:id="2"/>
      <w:r>
        <w:rPr>
          <w:rFonts w:ascii="Times New Roman;Times;Serif" w:hAnsi="Times New Roman;Times;Serif"/>
          <w:b/>
          <w:i w:val="false"/>
          <w:caps w:val="false"/>
          <w:smallCaps w:val="false"/>
          <w:sz w:val="32"/>
        </w:rPr>
        <w:t xml:space="preserve">SCHEDULE 14A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 Pursuant to Section 14(a)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Securities Exchange Act of 1934 </w:t>
      </w:r>
      <w:r>
        <w:rPr>
          <w:rFonts w:ascii="Times New Roman;Times;Serif" w:hAnsi="Times New Roman;Times;Serif"/>
          <w:b w:val="false"/>
          <w:i w:val="false"/>
          <w:caps w:val="false"/>
          <w:smallCaps w:val="false"/>
          <w:sz w:val="20"/>
        </w:rPr>
        <w:t> </w:t>
      </w:r>
    </w:p>
    <w:tbl>
      <w:tblPr>
        <w:tblW w:w="6035" w:type="dxa"/>
        <w:jc w:val="left"/>
        <w:tblInd w:w="0" w:type="dxa"/>
        <w:tblLayout w:type="fixed"/>
        <w:tblCellMar>
          <w:top w:w="0" w:type="dxa"/>
          <w:left w:w="0" w:type="dxa"/>
          <w:bottom w:w="0" w:type="dxa"/>
          <w:right w:w="0" w:type="dxa"/>
        </w:tblCellMar>
      </w:tblPr>
      <w:tblGrid>
        <w:gridCol w:w="2120"/>
        <w:gridCol w:w="140"/>
        <w:gridCol w:w="140"/>
        <w:gridCol w:w="3635"/>
      </w:tblGrid>
      <w:tr>
        <w:trPr/>
        <w:tc>
          <w:tcPr>
            <w:tcW w:w="2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the Registrant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2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90"/>
        <w:gridCol w:w="2405"/>
      </w:tblGrid>
      <w:tr>
        <w:trPr/>
        <w:tc>
          <w:tcPr>
            <w:tcW w:w="2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Preliminary Proxy Statement </w:t>
            </w:r>
          </w:p>
        </w:tc>
      </w:tr>
    </w:tbl>
    <w:tbl>
      <w:tblPr>
        <w:tblW w:w="7000" w:type="dxa"/>
        <w:jc w:val="left"/>
        <w:tblInd w:w="0" w:type="dxa"/>
        <w:tblLayout w:type="fixed"/>
        <w:tblCellMar>
          <w:top w:w="0" w:type="dxa"/>
          <w:left w:w="0" w:type="dxa"/>
          <w:bottom w:w="0" w:type="dxa"/>
          <w:right w:w="0" w:type="dxa"/>
        </w:tblCellMar>
      </w:tblPr>
      <w:tblGrid>
        <w:gridCol w:w="290"/>
        <w:gridCol w:w="6710"/>
      </w:tblGrid>
      <w:tr>
        <w:trPr/>
        <w:tc>
          <w:tcPr>
            <w:tcW w:w="29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tbl>
      <w:tblPr>
        <w:tblW w:w="2575" w:type="dxa"/>
        <w:jc w:val="left"/>
        <w:tblInd w:w="0" w:type="dxa"/>
        <w:tblLayout w:type="fixed"/>
        <w:tblCellMar>
          <w:top w:w="0" w:type="dxa"/>
          <w:left w:w="0" w:type="dxa"/>
          <w:bottom w:w="0" w:type="dxa"/>
          <w:right w:w="0" w:type="dxa"/>
        </w:tblCellMar>
      </w:tblPr>
      <w:tblGrid>
        <w:gridCol w:w="290"/>
        <w:gridCol w:w="2285"/>
      </w:tblGrid>
      <w:tr>
        <w:trPr/>
        <w:tc>
          <w:tcPr>
            <w:tcW w:w="29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Proxy Statement </w:t>
            </w:r>
          </w:p>
        </w:tc>
      </w:tr>
    </w:tbl>
    <w:tbl>
      <w:tblPr>
        <w:tblW w:w="2935" w:type="dxa"/>
        <w:jc w:val="left"/>
        <w:tblInd w:w="0" w:type="dxa"/>
        <w:tblLayout w:type="fixed"/>
        <w:tblCellMar>
          <w:top w:w="0" w:type="dxa"/>
          <w:left w:w="0" w:type="dxa"/>
          <w:bottom w:w="0" w:type="dxa"/>
          <w:right w:w="0" w:type="dxa"/>
        </w:tblCellMar>
      </w:tblPr>
      <w:tblGrid>
        <w:gridCol w:w="290"/>
        <w:gridCol w:w="2645"/>
      </w:tblGrid>
      <w:tr>
        <w:trPr/>
        <w:tc>
          <w:tcPr>
            <w:tcW w:w="29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290"/>
        <w:gridCol w:w="3725"/>
      </w:tblGrid>
      <w:tr>
        <w:trPr/>
        <w:tc>
          <w:tcPr>
            <w:tcW w:w="29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Soliciting Material Under Rule § 240.14a-12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0"/>
        </w:rPr>
      </w:pPr>
      <w:bookmarkStart w:id="3" w:name="xdx_909_edei--EntityRegistrantName_c2025"/>
      <w:bookmarkEnd w:id="3"/>
      <w:r>
        <w:rPr>
          <w:rFonts w:ascii="Times New Roman;Times;Serif" w:hAnsi="Times New Roman;Times;Serif"/>
          <w:b/>
          <w:i w:val="false"/>
          <w:caps w:val="false"/>
          <w:smallCaps w:val="false"/>
          <w:sz w:val="40"/>
        </w:rPr>
        <w:t>EXPION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Registrant as Specified in its Charter)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fee required </w:t>
            </w:r>
          </w:p>
        </w:tc>
      </w:tr>
    </w:tbl>
    <w:tbl>
      <w:tblPr>
        <w:tblW w:w="4150" w:type="dxa"/>
        <w:jc w:val="left"/>
        <w:tblInd w:w="0" w:type="dxa"/>
        <w:tblLayout w:type="fixed"/>
        <w:tblCellMar>
          <w:top w:w="0" w:type="dxa"/>
          <w:left w:w="0" w:type="dxa"/>
          <w:bottom w:w="0" w:type="dxa"/>
          <w:right w:w="0" w:type="dxa"/>
        </w:tblCellMar>
      </w:tblPr>
      <w:tblGrid>
        <w:gridCol w:w="290"/>
        <w:gridCol w:w="3860"/>
      </w:tblGrid>
      <w:tr>
        <w:trPr/>
        <w:tc>
          <w:tcPr>
            <w:tcW w:w="29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paid previously with preliminary materials </w:t>
            </w:r>
          </w:p>
        </w:tc>
      </w:tr>
    </w:tbl>
    <w:tbl>
      <w:tblPr>
        <w:tblW w:w="8590" w:type="dxa"/>
        <w:jc w:val="left"/>
        <w:tblInd w:w="0" w:type="dxa"/>
        <w:tblLayout w:type="fixed"/>
        <w:tblCellMar>
          <w:top w:w="0" w:type="dxa"/>
          <w:left w:w="0" w:type="dxa"/>
          <w:bottom w:w="0" w:type="dxa"/>
          <w:right w:w="0" w:type="dxa"/>
        </w:tblCellMar>
      </w:tblPr>
      <w:tblGrid>
        <w:gridCol w:w="290"/>
        <w:gridCol w:w="8300"/>
      </w:tblGrid>
      <w:tr>
        <w:trPr/>
        <w:tc>
          <w:tcPr>
            <w:tcW w:w="29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Fee computed on table in exhibit required by Item 25(b) per Exchange Act Rules 14a-6(i)(1) and 0-11 </w:t>
            </w:r>
          </w:p>
        </w:tc>
      </w:tr>
    </w:tbl>
    <w:p>
      <w:pPr>
        <w:pStyle w:val="TextBody"/>
        <w:bidi w:val="0"/>
        <w:spacing w:before="0" w:after="283"/>
        <w:jc w:val="left"/>
        <w:rPr/>
      </w:pPr>
      <w:r>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3622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1095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2025 SW Deerhound Avenue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Redmond, Oregon 97756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001"/>
      <w:bookmarkEnd w:id="4"/>
      <w:r>
        <w:rPr>
          <w:rFonts w:ascii="Times New Roman;Times;Serif" w:hAnsi="Times New Roman;Times;Serif"/>
          <w:b/>
          <w:i w:val="false"/>
          <w:caps w:val="false"/>
          <w:smallCaps w:val="false"/>
          <w:sz w:val="20"/>
        </w:rPr>
        <w:t>PROXY STATEMENT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summary contains highlights about the upcoming 2026 annual meeting of stockholders (the “Annual Meeting”) of Expion Energy, Inc. (the “Company,” “we,” “us,” or “ours”). This summary does not contain all of the information that you should consider in advance of the Annual Meeting and we encourage you to read the entire accompanying proxy statement before voting. We recently changed our corporate name from “Expion360 Inc.” to “Expion Energy, Inc.” to better align with our expanded energy platform and operating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2026 Annual Meeting of Stockholders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3"/>
        <w:gridCol w:w="140"/>
        <w:gridCol w:w="8862"/>
      </w:tblGrid>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Wednesday, November 4, 2026</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Time: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9:00 a.m. Pacific Time</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Location:</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City Express by Marriott Redmond Bend Airport located at 2243 SW Yew Avenue, Redmond, Oregon 97756 </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20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Mailing Date:</w:t>
            </w:r>
          </w:p>
        </w:tc>
        <w:tc>
          <w:tcPr>
            <w:tcW w:w="140" w:type="dxa"/>
            <w:tcBorders/>
            <w:vAlign w:val="center"/>
          </w:tcPr>
          <w:p>
            <w:pPr>
              <w:pStyle w:val="TableContents"/>
              <w:bidi w:val="0"/>
              <w:spacing w:before="0" w:after="283"/>
              <w:jc w:val="left"/>
              <w:rPr/>
            </w:pPr>
            <w:r>
              <w:rPr/>
              <w:t> </w:t>
            </w:r>
          </w:p>
        </w:tc>
        <w:tc>
          <w:tcPr>
            <w:tcW w:w="8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intend to mail the proxy materials to our stockholders on or about September 18, 2026</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Voting Matters and Board Recommendations </w:t>
      </w:r>
    </w:p>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5"/>
        <w:gridCol w:w="7584"/>
        <w:gridCol w:w="1756"/>
      </w:tblGrid>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Proposal No.</w:t>
            </w:r>
          </w:p>
        </w:tc>
        <w:tc>
          <w:tcPr>
            <w:tcW w:w="758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Proposals</w:t>
            </w:r>
          </w:p>
        </w:tc>
        <w:tc>
          <w:tcPr>
            <w:tcW w:w="175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Recommendation of Our Board</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five directors to serve on our board of directors for a one-year term of office expiring at the annual meeting of stockholders to be held in 2027 and until their successors have been elected and qualified, or until their earlier death, resignation, or removal;</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w:t>
            </w:r>
          </w:p>
          <w:p>
            <w:pPr>
              <w:pStyle w:val="TableContents"/>
              <w:bidi w:val="0"/>
              <w:spacing w:before="0" w:after="0"/>
              <w:ind w:left="0" w:right="0" w:hanging="0"/>
              <w:jc w:val="center"/>
              <w:rPr>
                <w:caps w:val="false"/>
                <w:smallCaps w:val="false"/>
              </w:rPr>
            </w:pPr>
            <w:r>
              <w:rPr>
                <w:caps w:val="false"/>
                <w:smallCaps w:val="false"/>
              </w:rPr>
              <w:t> </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M&amp;K CPAS, PLLC as our independent registered public accounting firm for the year ending December 31, 2026;</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certificate of designation for the creation, designation, and issuance of Series A-1 8% Convertible Preferred Stock (“Series A-1 Preferred Stock”);</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form of certificate of designation for the creation, designation, and issuance of one or more series of preferred stock (any such stock, the “AIR Preferred Stock”) pursuant to the exercise of the additional investment right granted under the Securities Purchase Agreement, dated August 21, 2026, by and between the Company and the purchasers identified therein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create blank check preferred stock consisting of 20,000,000 shares of preferred stock;</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2021 Incentive Award Plan to increase the number of shares of common stock authorized for issuance under the plan by 250,000; and</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5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approval of one or more adjournments of the Annual Meeting to solicit additional proxies in favor of any or all proposals if there are not sufficient votes at the time of such adjournment to approve any or all such proposals.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common stock, par value $0.001 per share (our “Common Stock”), at the close of business on September 15, 2026 (the “Record Date”), are entitled to notice of, and to vote at, the Annual Meeting. On the Record Date, there were issued and outstanding 1,012,498 shares of our Common Stock. Each share of our Common Stock entitles the holder thereof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Internet Availability of Proxy Materials is being mailed to stockholders on or about September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362200" cy="1095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62200" cy="109537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002"/>
      <w:bookmarkEnd w:id="5"/>
      <w:r>
        <w:rPr>
          <w:rFonts w:ascii="Times New Roman;Times;Serif" w:hAnsi="Times New Roman;Times;Serif"/>
          <w:b/>
          <w:i w:val="false"/>
          <w:caps w:val="false"/>
          <w:smallCaps w:val="false"/>
          <w:sz w:val="20"/>
        </w:rPr>
        <w:t>NOTICE OF 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BE HELD ON WEDNESDAY, NOVEMBER 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Stockholders of Expion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annual meeting of stockholders (the “Annual Meeting”) of Expion Energy, Inc., a Nevada corporation (the “Company,” “we,” “us,” or “ours”), will be held on Wednesday, November 4, 2026, at 9:00 a.m. Pacific Time, at the City Express by Marriott Redmond Bend Airport located at 2243 SW Yew Avenue, Redmond, Oregon 97756,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2"/>
        <w:gridCol w:w="9323"/>
      </w:tblGrid>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Proposal No.</w:t>
            </w:r>
          </w:p>
        </w:tc>
        <w:tc>
          <w:tcPr>
            <w:tcW w:w="932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Proposals</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election of five directors to serve on our board of directors (our “Board”) for a one-year term of office expiring at the annual meeting of stockholders to be held in 2027 and until their successors have been elected and qualified, or until their earlier death, resignation, or removal;</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ratification of the appointment of M&amp;K CPAS, PLLC as our independent registered public accounting firm for the year ending December 31, 2026;</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 certificate of designation for the creation, designation, and issuance of Series A-1 8% Convertible Preferred Stock (“Series A-1 Preferred Stock”);</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 form of certificate of designation for the creation, designation, and issuance of one or more series of preferred stock (any such stock, the “AIR Preferred Stock”) pursuant to the exercise of the additional investment right granted under the Securities Purchase Agreement, dated August 21, 2026, by and between the Company and the purchasers identified therein (the “Securities Purchase Agreement”);</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an amendment to our Articles of Incorporation to create blank check preferred stock consisting of 20,000,000 shares of preferred stock;</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an amendment to our 2021 Incentive Award Plan to increase the number of shares of common stock authorized for issuance under the plan by 250,000; and</w:t>
            </w:r>
          </w:p>
        </w:tc>
      </w:tr>
      <w:tr>
        <w:trPr/>
        <w:tc>
          <w:tcPr>
            <w:tcW w:w="88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93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approval of one or more adjournments of the 2026 annual meeting to solicit additional proxies in favor of any or all proposals if there are not sufficient votes at the time of such adjournment to approve any or all such proposals.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transact any other business that is properly presented at the Annual Meeting or any continuation, postponement, or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items of business are more fully described in the proxy statement accompanying this Notice of 2026 Annual Meeting of Stockholders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fixed the close of business on September 15, 2026 as the record date for the determination of stockholders entitled to notice of, and to vote at, the Annual Meeting and any continuation, postponement, or adjournment thereof. Whether or not you plan on attending the Annual Meeting, we encourage you to submit your proxy or voting instructions as soon as possible to ensure your representation at the Annual Meeting. Please refer to the section of the Proxy Statement titled “</w:t>
      </w:r>
      <w:r>
        <w:rPr>
          <w:rFonts w:ascii="Times New Roman;Times;Serif" w:hAnsi="Times New Roman;Times;Serif"/>
          <w:b w:val="false"/>
          <w:i/>
          <w:caps w:val="false"/>
          <w:smallCaps w:val="false"/>
          <w:sz w:val="20"/>
        </w:rPr>
        <w:t>Questions and Answers About the Annual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0" w:right="0" w:hanging="0"/>
        <w:jc w:val="both"/>
        <w:rPr>
          <w:caps w:val="false"/>
          <w:smallCaps w:val="false"/>
        </w:rPr>
      </w:pPr>
      <w:r>
        <w:rPr>
          <w:caps w:val="false"/>
          <w:smallCaps w:val="false"/>
        </w:rPr>
        <w:t> </w:t>
      </w:r>
    </w:p>
    <w:tbl>
      <w:tblPr>
        <w:tblW w:w="1430" w:type="dxa"/>
        <w:jc w:val="left"/>
        <w:tblInd w:w="0" w:type="dxa"/>
        <w:tblLayout w:type="fixed"/>
        <w:tblCellMar>
          <w:top w:w="0" w:type="dxa"/>
          <w:left w:w="0" w:type="dxa"/>
          <w:bottom w:w="28" w:type="dxa"/>
          <w:right w:w="0" w:type="dxa"/>
        </w:tblCellMar>
      </w:tblPr>
      <w:tblGrid>
        <w:gridCol w:w="1355"/>
        <w:gridCol w:w="75"/>
      </w:tblGrid>
      <w:tr>
        <w:trPr/>
        <w:tc>
          <w:tcPr>
            <w:tcW w:w="1355" w:type="dxa"/>
            <w:tcBorders>
              <w:bottom w:val="single" w:sz="8" w:space="0" w:color="000000"/>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Kevin Sellers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Sellers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Approximate Date of Mailing of Notice of Internet Availability of Proxy Materials: September 18,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11a"/>
      <w:bookmarkEnd w:id="6"/>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federal securities laws. Forward-looking statements may relate to our future financial condition, operating performance, business operations and strategies, capital raising opportunities, liquidity,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outcomes of the events described in these forward-looking statements are subject to risks, uncertainties and other factors described in Item 1A, “Risk Factors,” and elsewhere, in our Annual Report on Form 10-K for the year ended December 31, 2025, as amended, as well as the other reports we file with the Securities and Exchange Commission.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effected a one-for-12 reverse stock split of our Common Stock. All prior period share, equity award, and per share amounts and calculations in this Proxy Statement have been retroactively adjusted to reflect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87"/>
        <w:gridCol w:w="318"/>
      </w:tblGrid>
      <w:tr>
        <w:trPr/>
        <w:tc>
          <w:tcPr>
            <w:tcW w:w="9887" w:type="dxa"/>
            <w:tcBorders/>
            <w:shd w:fill="CCEEFF" w:val="clear"/>
            <w:vAlign w:val="center"/>
          </w:tcPr>
          <w:p>
            <w:pPr>
              <w:pStyle w:val="TableContents"/>
              <w:bidi w:val="0"/>
              <w:spacing w:before="0" w:after="283"/>
              <w:jc w:val="left"/>
              <w:rPr/>
            </w:pPr>
            <w:hyperlink w:anchor="a001">
              <w:r>
                <w:rPr>
                  <w:rStyle w:val="InternetLink"/>
                  <w:rFonts w:ascii="Times New Roman;Times;Serif" w:hAnsi="Times New Roman;Times;Serif"/>
                  <w:sz w:val="20"/>
                </w:rPr>
                <w:t>PROXY STATEMENT SUMMARY</w:t>
              </w:r>
            </w:hyperlink>
          </w:p>
        </w:tc>
        <w:tc>
          <w:tcPr>
            <w:tcW w:w="318" w:type="dxa"/>
            <w:tcBorders/>
            <w:shd w:fill="CCEEFF" w:val="clear"/>
            <w:vAlign w:val="center"/>
          </w:tcPr>
          <w:p>
            <w:pPr>
              <w:pStyle w:val="TableContents"/>
              <w:bidi w:val="0"/>
              <w:spacing w:before="0" w:after="283"/>
              <w:jc w:val="left"/>
              <w:rPr/>
            </w:pPr>
            <w:r>
              <w:rPr/>
              <w:t>1</w:t>
            </w:r>
          </w:p>
        </w:tc>
      </w:tr>
      <w:tr>
        <w:trPr/>
        <w:tc>
          <w:tcPr>
            <w:tcW w:w="9887" w:type="dxa"/>
            <w:tcBorders/>
            <w:shd w:fill="FFFFFF" w:val="clear"/>
            <w:vAlign w:val="center"/>
          </w:tcPr>
          <w:p>
            <w:pPr>
              <w:pStyle w:val="TableContents"/>
              <w:bidi w:val="0"/>
              <w:spacing w:before="0" w:after="283"/>
              <w:jc w:val="left"/>
              <w:rPr/>
            </w:pPr>
            <w:hyperlink w:anchor="a002">
              <w:r>
                <w:rPr>
                  <w:rStyle w:val="InternetLink"/>
                  <w:rFonts w:ascii="Times New Roman;Times;Serif" w:hAnsi="Times New Roman;Times;Serif"/>
                  <w:sz w:val="20"/>
                </w:rPr>
                <w:t>NOTICE OF 2026 ANNUAL MEETING OF STOCKHOLDERS</w:t>
              </w:r>
            </w:hyperlink>
          </w:p>
        </w:tc>
        <w:tc>
          <w:tcPr>
            <w:tcW w:w="318" w:type="dxa"/>
            <w:tcBorders/>
            <w:shd w:fill="FFFFFF" w:val="clear"/>
            <w:vAlign w:val="center"/>
          </w:tcPr>
          <w:p>
            <w:pPr>
              <w:pStyle w:val="TableContents"/>
              <w:bidi w:val="0"/>
              <w:spacing w:before="0" w:after="283"/>
              <w:jc w:val="left"/>
              <w:rPr/>
            </w:pPr>
            <w:r>
              <w:rPr/>
              <w:t>3</w:t>
            </w:r>
          </w:p>
        </w:tc>
      </w:tr>
      <w:tr>
        <w:trPr/>
        <w:tc>
          <w:tcPr>
            <w:tcW w:w="9887" w:type="dxa"/>
            <w:tcBorders/>
            <w:shd w:fill="CCEEFF" w:val="clear"/>
            <w:vAlign w:val="center"/>
          </w:tcPr>
          <w:p>
            <w:pPr>
              <w:pStyle w:val="TableContents"/>
              <w:bidi w:val="0"/>
              <w:spacing w:before="0" w:after="283"/>
              <w:jc w:val="left"/>
              <w:rPr/>
            </w:pPr>
            <w:hyperlink w:anchor="a_0011a">
              <w:r>
                <w:rPr>
                  <w:rStyle w:val="InternetLink"/>
                  <w:rFonts w:ascii="Times New Roman;Times;Serif" w:hAnsi="Times New Roman;Times;Serif"/>
                  <w:sz w:val="20"/>
                </w:rPr>
                <w:t>CAUTIONARY NOTE REGARDING FORWARD LOOKING STATEMENTS</w:t>
              </w:r>
            </w:hyperlink>
          </w:p>
        </w:tc>
        <w:tc>
          <w:tcPr>
            <w:tcW w:w="318" w:type="dxa"/>
            <w:tcBorders/>
            <w:shd w:fill="CCEEFF" w:val="clear"/>
            <w:vAlign w:val="center"/>
          </w:tcPr>
          <w:p>
            <w:pPr>
              <w:pStyle w:val="TableContents"/>
              <w:bidi w:val="0"/>
              <w:spacing w:before="0" w:after="283"/>
              <w:jc w:val="left"/>
              <w:rPr/>
            </w:pPr>
            <w:r>
              <w:rPr/>
              <w:t>5</w:t>
            </w:r>
          </w:p>
        </w:tc>
      </w:tr>
      <w:tr>
        <w:trPr/>
        <w:tc>
          <w:tcPr>
            <w:tcW w:w="9887" w:type="dxa"/>
            <w:tcBorders/>
            <w:shd w:fill="FFFFFF" w:val="clear"/>
            <w:vAlign w:val="center"/>
          </w:tcPr>
          <w:p>
            <w:pPr>
              <w:pStyle w:val="TableContents"/>
              <w:bidi w:val="0"/>
              <w:spacing w:before="0" w:after="283"/>
              <w:jc w:val="left"/>
              <w:rPr/>
            </w:pPr>
            <w:hyperlink w:anchor="a003">
              <w:r>
                <w:rPr>
                  <w:rStyle w:val="InternetLink"/>
                  <w:rFonts w:ascii="Times New Roman;Times;Serif" w:hAnsi="Times New Roman;Times;Serif"/>
                  <w:sz w:val="20"/>
                </w:rPr>
                <w:t>PROXY STATEMENT</w:t>
              </w:r>
            </w:hyperlink>
          </w:p>
        </w:tc>
        <w:tc>
          <w:tcPr>
            <w:tcW w:w="318" w:type="dxa"/>
            <w:tcBorders/>
            <w:shd w:fill="FFFFFF" w:val="clear"/>
            <w:vAlign w:val="center"/>
          </w:tcPr>
          <w:p>
            <w:pPr>
              <w:pStyle w:val="TableContents"/>
              <w:bidi w:val="0"/>
              <w:spacing w:before="0" w:after="283"/>
              <w:jc w:val="left"/>
              <w:rPr/>
            </w:pPr>
            <w:r>
              <w:rPr/>
              <w:t>7</w:t>
            </w:r>
          </w:p>
        </w:tc>
      </w:tr>
      <w:tr>
        <w:trPr/>
        <w:tc>
          <w:tcPr>
            <w:tcW w:w="9887" w:type="dxa"/>
            <w:tcBorders/>
            <w:shd w:fill="CCEEFF" w:val="clear"/>
            <w:vAlign w:val="center"/>
          </w:tcPr>
          <w:p>
            <w:pPr>
              <w:pStyle w:val="TableContents"/>
              <w:bidi w:val="0"/>
              <w:spacing w:before="0" w:after="283"/>
              <w:jc w:val="left"/>
              <w:rPr/>
            </w:pPr>
            <w:hyperlink w:anchor="a004">
              <w:r>
                <w:rPr>
                  <w:rStyle w:val="InternetLink"/>
                  <w:rFonts w:ascii="Times New Roman;Times;Serif" w:hAnsi="Times New Roman;Times;Serif"/>
                  <w:sz w:val="20"/>
                </w:rPr>
                <w:t>QUESTIONS AND ANSWERS ABOUT THE ANNUAL MEETING AND VOTING</w:t>
              </w:r>
            </w:hyperlink>
          </w:p>
        </w:tc>
        <w:tc>
          <w:tcPr>
            <w:tcW w:w="318" w:type="dxa"/>
            <w:tcBorders/>
            <w:shd w:fill="CCEEFF" w:val="clear"/>
            <w:vAlign w:val="center"/>
          </w:tcPr>
          <w:p>
            <w:pPr>
              <w:pStyle w:val="TableContents"/>
              <w:bidi w:val="0"/>
              <w:spacing w:before="0" w:after="283"/>
              <w:jc w:val="left"/>
              <w:rPr/>
            </w:pPr>
            <w:r>
              <w:rPr/>
              <w:t>7</w:t>
            </w:r>
          </w:p>
        </w:tc>
      </w:tr>
      <w:tr>
        <w:trPr/>
        <w:tc>
          <w:tcPr>
            <w:tcW w:w="9887" w:type="dxa"/>
            <w:tcBorders/>
            <w:shd w:fill="FFFFFF" w:val="clear"/>
            <w:vAlign w:val="center"/>
          </w:tcPr>
          <w:p>
            <w:pPr>
              <w:pStyle w:val="TableContents"/>
              <w:bidi w:val="0"/>
              <w:spacing w:before="0" w:after="283"/>
              <w:jc w:val="left"/>
              <w:rPr/>
            </w:pPr>
            <w:hyperlink w:anchor="a005">
              <w:r>
                <w:rPr>
                  <w:rStyle w:val="InternetLink"/>
                  <w:rFonts w:ascii="Times New Roman;Times;Serif" w:hAnsi="Times New Roman;Times;Serif"/>
                  <w:sz w:val="20"/>
                </w:rPr>
                <w:t>DIRECTORS, EXECUTIVE OFFICERS AND CORPORATE GOVERNANCE</w:t>
              </w:r>
            </w:hyperlink>
          </w:p>
        </w:tc>
        <w:tc>
          <w:tcPr>
            <w:tcW w:w="318" w:type="dxa"/>
            <w:tcBorders/>
            <w:shd w:fill="FFFFFF" w:val="clear"/>
            <w:vAlign w:val="center"/>
          </w:tcPr>
          <w:p>
            <w:pPr>
              <w:pStyle w:val="TableContents"/>
              <w:bidi w:val="0"/>
              <w:spacing w:before="0" w:after="283"/>
              <w:jc w:val="left"/>
              <w:rPr/>
            </w:pPr>
            <w:r>
              <w:rPr/>
              <w:t>14</w:t>
            </w:r>
          </w:p>
        </w:tc>
      </w:tr>
      <w:tr>
        <w:trPr/>
        <w:tc>
          <w:tcPr>
            <w:tcW w:w="9887" w:type="dxa"/>
            <w:tcBorders/>
            <w:shd w:fill="CCEEFF" w:val="clear"/>
            <w:vAlign w:val="center"/>
          </w:tcPr>
          <w:p>
            <w:pPr>
              <w:pStyle w:val="TableContents"/>
              <w:bidi w:val="0"/>
              <w:spacing w:before="0" w:after="283"/>
              <w:jc w:val="left"/>
              <w:rPr/>
            </w:pPr>
            <w:hyperlink w:anchor="a_0012a">
              <w:r>
                <w:rPr>
                  <w:rStyle w:val="InternetLink"/>
                  <w:rFonts w:ascii="Times New Roman;Times;Serif" w:hAnsi="Times New Roman;Times;Serif"/>
                  <w:sz w:val="20"/>
                </w:rPr>
                <w:t>RELATED PERSON TRANSACTION</w:t>
              </w:r>
            </w:hyperlink>
          </w:p>
        </w:tc>
        <w:tc>
          <w:tcPr>
            <w:tcW w:w="318" w:type="dxa"/>
            <w:tcBorders/>
            <w:shd w:fill="CCEEFF" w:val="clear"/>
            <w:vAlign w:val="center"/>
          </w:tcPr>
          <w:p>
            <w:pPr>
              <w:pStyle w:val="TableContents"/>
              <w:bidi w:val="0"/>
              <w:spacing w:before="0" w:after="283"/>
              <w:jc w:val="left"/>
              <w:rPr/>
            </w:pPr>
            <w:r>
              <w:rPr/>
              <w:t>18</w:t>
            </w:r>
          </w:p>
        </w:tc>
      </w:tr>
      <w:tr>
        <w:trPr/>
        <w:tc>
          <w:tcPr>
            <w:tcW w:w="9887" w:type="dxa"/>
            <w:tcBorders/>
            <w:shd w:fill="FFFFFF" w:val="clear"/>
            <w:vAlign w:val="center"/>
          </w:tcPr>
          <w:p>
            <w:pPr>
              <w:pStyle w:val="TableContents"/>
              <w:bidi w:val="0"/>
              <w:spacing w:before="0" w:after="283"/>
              <w:jc w:val="left"/>
              <w:rPr/>
            </w:pPr>
            <w:hyperlink w:anchor="a024">
              <w:r>
                <w:rPr>
                  <w:rStyle w:val="InternetLink"/>
                  <w:rFonts w:ascii="Times New Roman;Times;Serif" w:hAnsi="Times New Roman;Times;Serif"/>
                  <w:sz w:val="20"/>
                </w:rPr>
                <w:t>EXECUTIVE OFFICERS</w:t>
              </w:r>
            </w:hyperlink>
          </w:p>
        </w:tc>
        <w:tc>
          <w:tcPr>
            <w:tcW w:w="318" w:type="dxa"/>
            <w:tcBorders/>
            <w:shd w:fill="FFFFFF" w:val="clear"/>
            <w:vAlign w:val="center"/>
          </w:tcPr>
          <w:p>
            <w:pPr>
              <w:pStyle w:val="TableContents"/>
              <w:bidi w:val="0"/>
              <w:spacing w:before="0" w:after="283"/>
              <w:jc w:val="left"/>
              <w:rPr/>
            </w:pPr>
            <w:r>
              <w:rPr/>
              <w:t>19</w:t>
            </w:r>
          </w:p>
        </w:tc>
      </w:tr>
      <w:tr>
        <w:trPr/>
        <w:tc>
          <w:tcPr>
            <w:tcW w:w="9887" w:type="dxa"/>
            <w:tcBorders/>
            <w:shd w:fill="CCEEFF" w:val="clear"/>
            <w:vAlign w:val="center"/>
          </w:tcPr>
          <w:p>
            <w:pPr>
              <w:pStyle w:val="TableContents"/>
              <w:bidi w:val="0"/>
              <w:spacing w:before="0" w:after="283"/>
              <w:jc w:val="left"/>
              <w:rPr/>
            </w:pPr>
            <w:hyperlink w:anchor="a006">
              <w:r>
                <w:rPr>
                  <w:rStyle w:val="InternetLink"/>
                  <w:rFonts w:ascii="Times New Roman;Times;Serif" w:hAnsi="Times New Roman;Times;Serif"/>
                  <w:sz w:val="20"/>
                </w:rPr>
                <w:t>EXECUTIVE COMPENSATION DISCUSSION</w:t>
              </w:r>
            </w:hyperlink>
          </w:p>
        </w:tc>
        <w:tc>
          <w:tcPr>
            <w:tcW w:w="318" w:type="dxa"/>
            <w:tcBorders/>
            <w:shd w:fill="CCEEFF" w:val="clear"/>
            <w:vAlign w:val="center"/>
          </w:tcPr>
          <w:p>
            <w:pPr>
              <w:pStyle w:val="TableContents"/>
              <w:bidi w:val="0"/>
              <w:spacing w:before="0" w:after="283"/>
              <w:jc w:val="left"/>
              <w:rPr/>
            </w:pPr>
            <w:r>
              <w:rPr/>
              <w:t>20</w:t>
            </w:r>
          </w:p>
        </w:tc>
      </w:tr>
      <w:tr>
        <w:trPr/>
        <w:tc>
          <w:tcPr>
            <w:tcW w:w="9887" w:type="dxa"/>
            <w:tcBorders/>
            <w:shd w:fill="FFFFFF" w:val="clear"/>
            <w:vAlign w:val="center"/>
          </w:tcPr>
          <w:p>
            <w:pPr>
              <w:pStyle w:val="TableContents"/>
              <w:bidi w:val="0"/>
              <w:spacing w:before="0" w:after="283"/>
              <w:jc w:val="left"/>
              <w:rPr/>
            </w:pPr>
            <w:hyperlink w:anchor="a025">
              <w:r>
                <w:rPr>
                  <w:rStyle w:val="InternetLink"/>
                  <w:rFonts w:ascii="Times New Roman;Times;Serif" w:hAnsi="Times New Roman;Times;Serif"/>
                  <w:sz w:val="20"/>
                </w:rPr>
                <w:t>EXECUTIVE COMPENSATION</w:t>
              </w:r>
            </w:hyperlink>
          </w:p>
        </w:tc>
        <w:tc>
          <w:tcPr>
            <w:tcW w:w="318" w:type="dxa"/>
            <w:tcBorders/>
            <w:shd w:fill="FFFFFF" w:val="clear"/>
            <w:vAlign w:val="center"/>
          </w:tcPr>
          <w:p>
            <w:pPr>
              <w:pStyle w:val="TableContents"/>
              <w:bidi w:val="0"/>
              <w:spacing w:before="0" w:after="283"/>
              <w:jc w:val="left"/>
              <w:rPr/>
            </w:pPr>
            <w:r>
              <w:rPr/>
              <w:t>20</w:t>
            </w:r>
          </w:p>
        </w:tc>
      </w:tr>
      <w:tr>
        <w:trPr/>
        <w:tc>
          <w:tcPr>
            <w:tcW w:w="9887" w:type="dxa"/>
            <w:tcBorders/>
            <w:shd w:fill="CCEEFF" w:val="clear"/>
            <w:vAlign w:val="center"/>
          </w:tcPr>
          <w:p>
            <w:pPr>
              <w:pStyle w:val="TableContents"/>
              <w:bidi w:val="0"/>
              <w:spacing w:before="0" w:after="283"/>
              <w:jc w:val="left"/>
              <w:rPr/>
            </w:pPr>
            <w:hyperlink w:anchor="a026">
              <w:r>
                <w:rPr>
                  <w:rStyle w:val="InternetLink"/>
                  <w:rFonts w:ascii="Times New Roman;Times;Serif" w:hAnsi="Times New Roman;Times;Serif"/>
                  <w:sz w:val="20"/>
                </w:rPr>
                <w:t>SUMMARY COMPENSATION TABLE</w:t>
              </w:r>
            </w:hyperlink>
          </w:p>
        </w:tc>
        <w:tc>
          <w:tcPr>
            <w:tcW w:w="318" w:type="dxa"/>
            <w:tcBorders/>
            <w:shd w:fill="CCEEFF" w:val="clear"/>
            <w:vAlign w:val="center"/>
          </w:tcPr>
          <w:p>
            <w:pPr>
              <w:pStyle w:val="TableContents"/>
              <w:bidi w:val="0"/>
              <w:spacing w:before="0" w:after="283"/>
              <w:jc w:val="left"/>
              <w:rPr/>
            </w:pPr>
            <w:r>
              <w:rPr/>
              <w:t>21</w:t>
            </w:r>
          </w:p>
        </w:tc>
      </w:tr>
      <w:tr>
        <w:trPr/>
        <w:tc>
          <w:tcPr>
            <w:tcW w:w="9887" w:type="dxa"/>
            <w:tcBorders/>
            <w:shd w:fill="FFFFFF" w:val="clear"/>
            <w:vAlign w:val="center"/>
          </w:tcPr>
          <w:p>
            <w:pPr>
              <w:pStyle w:val="TableContents"/>
              <w:bidi w:val="0"/>
              <w:spacing w:before="0" w:after="283"/>
              <w:jc w:val="left"/>
              <w:rPr/>
            </w:pPr>
            <w:hyperlink w:anchor="a027">
              <w:r>
                <w:rPr>
                  <w:rStyle w:val="InternetLink"/>
                  <w:rFonts w:ascii="Times New Roman;Times;Serif" w:hAnsi="Times New Roman;Times;Serif"/>
                  <w:sz w:val="20"/>
                </w:rPr>
                <w:t>OUTSTANDING EQUITY AWARDS AT FISCAL YEAR-END</w:t>
              </w:r>
            </w:hyperlink>
          </w:p>
        </w:tc>
        <w:tc>
          <w:tcPr>
            <w:tcW w:w="318" w:type="dxa"/>
            <w:tcBorders/>
            <w:shd w:fill="FFFFFF" w:val="clear"/>
            <w:vAlign w:val="center"/>
          </w:tcPr>
          <w:p>
            <w:pPr>
              <w:pStyle w:val="TableContents"/>
              <w:bidi w:val="0"/>
              <w:spacing w:before="0" w:after="283"/>
              <w:jc w:val="left"/>
              <w:rPr/>
            </w:pPr>
            <w:r>
              <w:rPr/>
              <w:t>25</w:t>
            </w:r>
          </w:p>
        </w:tc>
      </w:tr>
      <w:tr>
        <w:trPr/>
        <w:tc>
          <w:tcPr>
            <w:tcW w:w="9887" w:type="dxa"/>
            <w:tcBorders/>
            <w:shd w:fill="CCEEFF" w:val="clear"/>
            <w:vAlign w:val="center"/>
          </w:tcPr>
          <w:p>
            <w:pPr>
              <w:pStyle w:val="TableContents"/>
              <w:bidi w:val="0"/>
              <w:spacing w:before="0" w:after="283"/>
              <w:jc w:val="left"/>
              <w:rPr/>
            </w:pPr>
            <w:hyperlink w:anchor="a028">
              <w:r>
                <w:rPr>
                  <w:rStyle w:val="InternetLink"/>
                  <w:rFonts w:ascii="Times New Roman;Times;Serif" w:hAnsi="Times New Roman;Times;Serif"/>
                  <w:sz w:val="20"/>
                </w:rPr>
                <w:t>DIRECTOR COMPENSATION</w:t>
              </w:r>
            </w:hyperlink>
          </w:p>
        </w:tc>
        <w:tc>
          <w:tcPr>
            <w:tcW w:w="318" w:type="dxa"/>
            <w:tcBorders/>
            <w:shd w:fill="CCEEFF" w:val="clear"/>
            <w:vAlign w:val="center"/>
          </w:tcPr>
          <w:p>
            <w:pPr>
              <w:pStyle w:val="TableContents"/>
              <w:bidi w:val="0"/>
              <w:spacing w:before="0" w:after="283"/>
              <w:jc w:val="left"/>
              <w:rPr/>
            </w:pPr>
            <w:r>
              <w:rPr/>
              <w:t>28</w:t>
            </w:r>
          </w:p>
        </w:tc>
      </w:tr>
      <w:tr>
        <w:trPr/>
        <w:tc>
          <w:tcPr>
            <w:tcW w:w="9887" w:type="dxa"/>
            <w:tcBorders/>
            <w:shd w:fill="FFFFFF" w:val="clear"/>
            <w:vAlign w:val="center"/>
          </w:tcPr>
          <w:p>
            <w:pPr>
              <w:pStyle w:val="TableContents"/>
              <w:bidi w:val="0"/>
              <w:spacing w:before="0" w:after="283"/>
              <w:jc w:val="left"/>
              <w:rPr/>
            </w:pPr>
            <w:hyperlink w:anchor="a029">
              <w:r>
                <w:rPr>
                  <w:rStyle w:val="InternetLink"/>
                  <w:rFonts w:ascii="Times New Roman;Times;Serif" w:hAnsi="Times New Roman;Times;Serif"/>
                  <w:sz w:val="20"/>
                </w:rPr>
                <w:t>OWNERSHIP OF EQUITY SECURITIES OF THE COMPANY</w:t>
              </w:r>
            </w:hyperlink>
          </w:p>
        </w:tc>
        <w:tc>
          <w:tcPr>
            <w:tcW w:w="318" w:type="dxa"/>
            <w:tcBorders/>
            <w:shd w:fill="FFFFFF" w:val="clear"/>
            <w:vAlign w:val="center"/>
          </w:tcPr>
          <w:p>
            <w:pPr>
              <w:pStyle w:val="TableContents"/>
              <w:bidi w:val="0"/>
              <w:spacing w:before="0" w:after="283"/>
              <w:jc w:val="left"/>
              <w:rPr/>
            </w:pPr>
            <w:r>
              <w:rPr/>
              <w:t>30</w:t>
            </w:r>
          </w:p>
        </w:tc>
      </w:tr>
      <w:tr>
        <w:trPr/>
        <w:tc>
          <w:tcPr>
            <w:tcW w:w="9887" w:type="dxa"/>
            <w:tcBorders/>
            <w:shd w:fill="CCEEFF" w:val="clear"/>
            <w:vAlign w:val="center"/>
          </w:tcPr>
          <w:p>
            <w:pPr>
              <w:pStyle w:val="TableContents"/>
              <w:bidi w:val="0"/>
              <w:spacing w:before="0" w:after="283"/>
              <w:jc w:val="left"/>
              <w:rPr/>
            </w:pPr>
            <w:hyperlink w:anchor="a030">
              <w:r>
                <w:rPr>
                  <w:rStyle w:val="InternetLink"/>
                  <w:rFonts w:ascii="Times New Roman;Times;Serif" w:hAnsi="Times New Roman;Times;Serif"/>
                  <w:sz w:val="20"/>
                </w:rPr>
                <w:t>SECURITIES AUTHORIZED FOR ISSUANCE UNDER THE EQUITY COMPENSATION PLANS</w:t>
              </w:r>
            </w:hyperlink>
          </w:p>
        </w:tc>
        <w:tc>
          <w:tcPr>
            <w:tcW w:w="318" w:type="dxa"/>
            <w:tcBorders/>
            <w:shd w:fill="CCEEFF" w:val="clear"/>
            <w:vAlign w:val="center"/>
          </w:tcPr>
          <w:p>
            <w:pPr>
              <w:pStyle w:val="TableContents"/>
              <w:bidi w:val="0"/>
              <w:spacing w:before="0" w:after="283"/>
              <w:jc w:val="left"/>
              <w:rPr/>
            </w:pPr>
            <w:r>
              <w:rPr/>
              <w:t>30</w:t>
            </w:r>
          </w:p>
        </w:tc>
      </w:tr>
      <w:tr>
        <w:trPr/>
        <w:tc>
          <w:tcPr>
            <w:tcW w:w="9887" w:type="dxa"/>
            <w:tcBorders/>
            <w:shd w:fill="FFFFFF" w:val="clear"/>
            <w:vAlign w:val="center"/>
          </w:tcPr>
          <w:p>
            <w:pPr>
              <w:pStyle w:val="TableContents"/>
              <w:bidi w:val="0"/>
              <w:spacing w:before="0" w:after="283"/>
              <w:jc w:val="left"/>
              <w:rPr/>
            </w:pPr>
            <w:hyperlink w:anchor="a031">
              <w:r>
                <w:rPr>
                  <w:rStyle w:val="InternetLink"/>
                  <w:rFonts w:ascii="Times New Roman;Times;Serif" w:hAnsi="Times New Roman;Times;Serif"/>
                  <w:sz w:val="20"/>
                </w:rPr>
                <w:t>SECURITY OWNERSHIP OF CERTAIN BENEFICIAL OWNERS AND MANAGEMENT</w:t>
              </w:r>
            </w:hyperlink>
          </w:p>
        </w:tc>
        <w:tc>
          <w:tcPr>
            <w:tcW w:w="318" w:type="dxa"/>
            <w:tcBorders/>
            <w:shd w:fill="FFFFFF" w:val="clear"/>
            <w:vAlign w:val="center"/>
          </w:tcPr>
          <w:p>
            <w:pPr>
              <w:pStyle w:val="TableContents"/>
              <w:bidi w:val="0"/>
              <w:spacing w:before="0" w:after="283"/>
              <w:jc w:val="left"/>
              <w:rPr/>
            </w:pPr>
            <w:r>
              <w:rPr/>
              <w:t>31</w:t>
            </w:r>
          </w:p>
        </w:tc>
      </w:tr>
      <w:tr>
        <w:trPr/>
        <w:tc>
          <w:tcPr>
            <w:tcW w:w="9887" w:type="dxa"/>
            <w:tcBorders/>
            <w:shd w:fill="CCEEFF" w:val="clear"/>
            <w:vAlign w:val="center"/>
          </w:tcPr>
          <w:p>
            <w:pPr>
              <w:pStyle w:val="TableContents"/>
              <w:bidi w:val="0"/>
              <w:spacing w:before="0" w:after="283"/>
              <w:jc w:val="left"/>
              <w:rPr/>
            </w:pPr>
            <w:hyperlink w:anchor="a007">
              <w:r>
                <w:rPr>
                  <w:rStyle w:val="InternetLink"/>
                  <w:rFonts w:ascii="Times New Roman;Times;Serif" w:hAnsi="Times New Roman;Times;Serif"/>
                  <w:sz w:val="20"/>
                </w:rPr>
                <w:t>PROPOSAL NO. 1 – ELECTION OF DIRECTORS</w:t>
              </w:r>
            </w:hyperlink>
          </w:p>
        </w:tc>
        <w:tc>
          <w:tcPr>
            <w:tcW w:w="318" w:type="dxa"/>
            <w:tcBorders/>
            <w:shd w:fill="CCEEFF" w:val="clear"/>
            <w:vAlign w:val="center"/>
          </w:tcPr>
          <w:p>
            <w:pPr>
              <w:pStyle w:val="TableContents"/>
              <w:bidi w:val="0"/>
              <w:spacing w:before="0" w:after="283"/>
              <w:jc w:val="left"/>
              <w:rPr/>
            </w:pPr>
            <w:r>
              <w:rPr/>
              <w:t>34</w:t>
            </w:r>
          </w:p>
        </w:tc>
      </w:tr>
      <w:tr>
        <w:trPr/>
        <w:tc>
          <w:tcPr>
            <w:tcW w:w="9887" w:type="dxa"/>
            <w:tcBorders/>
            <w:shd w:fill="FFFFFF" w:val="clear"/>
            <w:vAlign w:val="center"/>
          </w:tcPr>
          <w:p>
            <w:pPr>
              <w:pStyle w:val="TableContents"/>
              <w:bidi w:val="0"/>
              <w:spacing w:before="0" w:after="283"/>
              <w:jc w:val="left"/>
              <w:rPr/>
            </w:pPr>
            <w:hyperlink w:anchor="a008">
              <w:r>
                <w:rPr>
                  <w:rStyle w:val="InternetLink"/>
                  <w:rFonts w:ascii="Times New Roman;Times;Serif" w:hAnsi="Times New Roman;Times;Serif"/>
                  <w:sz w:val="20"/>
                </w:rPr>
                <w:t>PROPOSAL NO. 2 – TO RATIFY THE APPOINTMENT OF M&amp;K CPAS, PLLC AS OUR INDEPENDENT REGISTERED PUBLIC ACCOUNTING FIRM FOR THE YEAR ENDING DECEMBER 31, 2026</w:t>
              </w:r>
            </w:hyperlink>
          </w:p>
        </w:tc>
        <w:tc>
          <w:tcPr>
            <w:tcW w:w="318" w:type="dxa"/>
            <w:tcBorders/>
            <w:shd w:fill="FFFFFF" w:val="clear"/>
            <w:vAlign w:val="center"/>
          </w:tcPr>
          <w:p>
            <w:pPr>
              <w:pStyle w:val="TableContents"/>
              <w:bidi w:val="0"/>
              <w:spacing w:before="0" w:after="283"/>
              <w:jc w:val="left"/>
              <w:rPr/>
            </w:pPr>
            <w:r>
              <w:rPr/>
              <w:t>37</w:t>
            </w:r>
          </w:p>
        </w:tc>
      </w:tr>
      <w:tr>
        <w:trPr/>
        <w:tc>
          <w:tcPr>
            <w:tcW w:w="9887" w:type="dxa"/>
            <w:tcBorders/>
            <w:shd w:fill="CCEEFF" w:val="clear"/>
            <w:vAlign w:val="center"/>
          </w:tcPr>
          <w:p>
            <w:pPr>
              <w:pStyle w:val="TableContents"/>
              <w:bidi w:val="0"/>
              <w:spacing w:before="0" w:after="283"/>
              <w:jc w:val="left"/>
              <w:rPr/>
            </w:pPr>
            <w:hyperlink w:anchor="a009">
              <w:r>
                <w:rPr>
                  <w:rStyle w:val="InternetLink"/>
                  <w:rFonts w:ascii="Times New Roman;Times;Serif" w:hAnsi="Times New Roman;Times;Serif"/>
                  <w:sz w:val="20"/>
                </w:rPr>
                <w:t>AUDIT COMMITTEE REPORT</w:t>
              </w:r>
            </w:hyperlink>
          </w:p>
        </w:tc>
        <w:tc>
          <w:tcPr>
            <w:tcW w:w="318" w:type="dxa"/>
            <w:tcBorders/>
            <w:shd w:fill="CCEEFF" w:val="clear"/>
            <w:vAlign w:val="center"/>
          </w:tcPr>
          <w:p>
            <w:pPr>
              <w:pStyle w:val="TableContents"/>
              <w:bidi w:val="0"/>
              <w:spacing w:before="0" w:after="283"/>
              <w:jc w:val="left"/>
              <w:rPr/>
            </w:pPr>
            <w:r>
              <w:rPr/>
              <w:t>39</w:t>
            </w:r>
          </w:p>
        </w:tc>
      </w:tr>
      <w:tr>
        <w:trPr/>
        <w:tc>
          <w:tcPr>
            <w:tcW w:w="9887" w:type="dxa"/>
            <w:tcBorders/>
            <w:shd w:fill="FFFFFF" w:val="clear"/>
            <w:vAlign w:val="center"/>
          </w:tcPr>
          <w:p>
            <w:pPr>
              <w:pStyle w:val="TableContents"/>
              <w:bidi w:val="0"/>
              <w:spacing w:before="0" w:after="283"/>
              <w:jc w:val="left"/>
              <w:rPr/>
            </w:pPr>
            <w:hyperlink w:anchor="a010">
              <w:r>
                <w:rPr>
                  <w:rStyle w:val="InternetLink"/>
                  <w:rFonts w:ascii="Times New Roman;Times;Serif" w:hAnsi="Times New Roman;Times;Serif"/>
                  <w:sz w:val="20"/>
                </w:rPr>
                <w:t>PROPOSAL NO. 3 – TO APPROVE A CERTIFICATE OF DESIGNATION FOR THE CREATION, DESIGNATION, AND ISSUANCE OF SERIES A-1 8% CONVERTIBLE PREFERRED STOCK</w:t>
              </w:r>
            </w:hyperlink>
          </w:p>
        </w:tc>
        <w:tc>
          <w:tcPr>
            <w:tcW w:w="318" w:type="dxa"/>
            <w:tcBorders/>
            <w:shd w:fill="FFFFFF" w:val="clear"/>
            <w:vAlign w:val="center"/>
          </w:tcPr>
          <w:p>
            <w:pPr>
              <w:pStyle w:val="TableContents"/>
              <w:bidi w:val="0"/>
              <w:spacing w:before="0" w:after="283"/>
              <w:jc w:val="left"/>
              <w:rPr/>
            </w:pPr>
            <w:r>
              <w:rPr/>
              <w:t>40</w:t>
            </w:r>
          </w:p>
        </w:tc>
      </w:tr>
      <w:tr>
        <w:trPr/>
        <w:tc>
          <w:tcPr>
            <w:tcW w:w="9887" w:type="dxa"/>
            <w:tcBorders/>
            <w:shd w:fill="CCEEFF" w:val="clear"/>
            <w:vAlign w:val="center"/>
          </w:tcPr>
          <w:p>
            <w:pPr>
              <w:pStyle w:val="TableContents"/>
              <w:bidi w:val="0"/>
              <w:spacing w:before="0" w:after="283"/>
              <w:jc w:val="left"/>
              <w:rPr/>
            </w:pPr>
            <w:hyperlink w:anchor="a011">
              <w:r>
                <w:rPr>
                  <w:rStyle w:val="InternetLink"/>
                  <w:rFonts w:ascii="Times New Roman;Times;Serif" w:hAnsi="Times New Roman;Times;Serif"/>
                  <w:sz w:val="20"/>
                </w:rPr>
                <w:t>PROPOSAL NO. 4 – TO APPROVE A FORM OF CERTIFICATE OF DESIGNATION FOR THE CREATION, DESIGNATION, AND ISSUANCE OF ONE OR MORE SERIES OF PREFERRED STOCK PURSUANT TO THE EXERCISE OF THE ADDITIONAL INVESTMENT RIGHT GRANTED UNDER THE SECURITIES PURCHASE AGREEMENT</w:t>
              </w:r>
            </w:hyperlink>
          </w:p>
        </w:tc>
        <w:tc>
          <w:tcPr>
            <w:tcW w:w="318" w:type="dxa"/>
            <w:tcBorders/>
            <w:shd w:fill="CCEEFF" w:val="clear"/>
            <w:vAlign w:val="center"/>
          </w:tcPr>
          <w:p>
            <w:pPr>
              <w:pStyle w:val="TableContents"/>
              <w:bidi w:val="0"/>
              <w:spacing w:before="0" w:after="283"/>
              <w:jc w:val="left"/>
              <w:rPr/>
            </w:pPr>
            <w:r>
              <w:rPr/>
              <w:t>45</w:t>
            </w:r>
          </w:p>
        </w:tc>
      </w:tr>
      <w:tr>
        <w:trPr/>
        <w:tc>
          <w:tcPr>
            <w:tcW w:w="9887" w:type="dxa"/>
            <w:tcBorders/>
            <w:shd w:fill="FFFFFF" w:val="clear"/>
            <w:vAlign w:val="center"/>
          </w:tcPr>
          <w:p>
            <w:pPr>
              <w:pStyle w:val="TableContents"/>
              <w:bidi w:val="0"/>
              <w:spacing w:before="0" w:after="283"/>
              <w:jc w:val="left"/>
              <w:rPr/>
            </w:pPr>
            <w:hyperlink w:anchor="a012">
              <w:r>
                <w:rPr>
                  <w:rStyle w:val="InternetLink"/>
                  <w:rFonts w:ascii="Times New Roman;Times;Serif" w:hAnsi="Times New Roman;Times;Serif"/>
                  <w:sz w:val="20"/>
                </w:rPr>
                <w:t>PROPOSAL NO. 5 – TO APPROVE, FOR PURPOSES OF NASDAQ LISTING RULE 5635, THE ISSUANCE OF MORE THAN 19.99% OF OUR OUTSTANDING SHARES OF COMMON STOCK ISSUABLE UPON CONVERSION OF, OR PAYMENT OF DIVIDENDS ON, SHARES OF SERIES A-1 PREFERRED STOCK AND AIR PREFERRED STOCK, AND EXERCISE OF WARRANTS, AS CONTEMPLATED BY THE SECURITIES PURCHASE AGREEMENT</w:t>
              </w:r>
            </w:hyperlink>
          </w:p>
        </w:tc>
        <w:tc>
          <w:tcPr>
            <w:tcW w:w="318" w:type="dxa"/>
            <w:tcBorders/>
            <w:shd w:fill="FFFFFF" w:val="clear"/>
            <w:vAlign w:val="center"/>
          </w:tcPr>
          <w:p>
            <w:pPr>
              <w:pStyle w:val="TableContents"/>
              <w:bidi w:val="0"/>
              <w:spacing w:before="0" w:after="283"/>
              <w:jc w:val="left"/>
              <w:rPr/>
            </w:pPr>
            <w:r>
              <w:rPr/>
              <w:t>50</w:t>
            </w:r>
          </w:p>
        </w:tc>
      </w:tr>
      <w:tr>
        <w:trPr/>
        <w:tc>
          <w:tcPr>
            <w:tcW w:w="9887" w:type="dxa"/>
            <w:tcBorders/>
            <w:shd w:fill="CCEEFF" w:val="clear"/>
            <w:vAlign w:val="center"/>
          </w:tcPr>
          <w:p>
            <w:pPr>
              <w:pStyle w:val="TableContents"/>
              <w:bidi w:val="0"/>
              <w:spacing w:before="0" w:after="283"/>
              <w:jc w:val="left"/>
              <w:rPr/>
            </w:pPr>
            <w:hyperlink w:anchor="a013">
              <w:r>
                <w:rPr>
                  <w:rStyle w:val="InternetLink"/>
                  <w:rFonts w:ascii="Times New Roman;Times;Serif" w:hAnsi="Times New Roman;Times;Serif"/>
                  <w:sz w:val="20"/>
                </w:rPr>
                <w:t>PROPOSAL NO. 6 – TO APPROVE AN AMENDMENT TO OUR ARTICLES OF INCORPORATION TO INCREASE THE NUMBER OF AUTHORIZED SHARES OF OUR CAPITAL STOCK FROM 36,666,666 SHARES TO 220,000,000 SHARES AND TO INCREASE THE NUMBER OF AUTHORIZED SHARES OF OUR COMMON STOCK FROM 16,666,666 SHARES TO 200,000,000 SHARES</w:t>
              </w:r>
            </w:hyperlink>
          </w:p>
        </w:tc>
        <w:tc>
          <w:tcPr>
            <w:tcW w:w="318" w:type="dxa"/>
            <w:tcBorders/>
            <w:shd w:fill="CCEEFF" w:val="clear"/>
            <w:vAlign w:val="center"/>
          </w:tcPr>
          <w:p>
            <w:pPr>
              <w:pStyle w:val="TableContents"/>
              <w:bidi w:val="0"/>
              <w:spacing w:before="0" w:after="283"/>
              <w:jc w:val="left"/>
              <w:rPr/>
            </w:pPr>
            <w:r>
              <w:rPr/>
              <w:t>57</w:t>
            </w:r>
          </w:p>
        </w:tc>
      </w:tr>
      <w:tr>
        <w:trPr/>
        <w:tc>
          <w:tcPr>
            <w:tcW w:w="9887" w:type="dxa"/>
            <w:tcBorders/>
            <w:shd w:fill="FFFFFF" w:val="clear"/>
            <w:vAlign w:val="center"/>
          </w:tcPr>
          <w:p>
            <w:pPr>
              <w:pStyle w:val="TableContents"/>
              <w:bidi w:val="0"/>
              <w:spacing w:before="0" w:after="283"/>
              <w:jc w:val="left"/>
              <w:rPr/>
            </w:pPr>
            <w:hyperlink w:anchor="a014">
              <w:r>
                <w:rPr>
                  <w:rStyle w:val="InternetLink"/>
                  <w:rFonts w:ascii="Times New Roman;Times;Serif" w:hAnsi="Times New Roman;Times;Serif"/>
                  <w:sz w:val="20"/>
                </w:rPr>
                <w:t>PROPOSAL NO. 7 – TO APPROVE AN AMENDMENT TO OUR ARTICLES OF INCORPORATION TO CREATE BLANK CHECK PREFERRED STOCK CONSISTING OF 20,000,000 SHARES OF PREFERRED STOCK</w:t>
              </w:r>
            </w:hyperlink>
          </w:p>
        </w:tc>
        <w:tc>
          <w:tcPr>
            <w:tcW w:w="318" w:type="dxa"/>
            <w:tcBorders/>
            <w:shd w:fill="FFFFFF" w:val="clear"/>
            <w:vAlign w:val="center"/>
          </w:tcPr>
          <w:p>
            <w:pPr>
              <w:pStyle w:val="TableContents"/>
              <w:bidi w:val="0"/>
              <w:spacing w:before="0" w:after="283"/>
              <w:jc w:val="left"/>
              <w:rPr/>
            </w:pPr>
            <w:r>
              <w:rPr/>
              <w:t>60</w:t>
            </w:r>
          </w:p>
        </w:tc>
      </w:tr>
      <w:tr>
        <w:trPr/>
        <w:tc>
          <w:tcPr>
            <w:tcW w:w="9887" w:type="dxa"/>
            <w:tcBorders/>
            <w:shd w:fill="CCEEFF" w:val="clear"/>
            <w:vAlign w:val="center"/>
          </w:tcPr>
          <w:p>
            <w:pPr>
              <w:pStyle w:val="TableContents"/>
              <w:bidi w:val="0"/>
              <w:spacing w:before="0" w:after="283"/>
              <w:jc w:val="left"/>
              <w:rPr/>
            </w:pPr>
            <w:hyperlink w:anchor="a015">
              <w:r>
                <w:rPr>
                  <w:rStyle w:val="InternetLink"/>
                  <w:rFonts w:ascii="Times New Roman;Times;Serif" w:hAnsi="Times New Roman;Times;Serif"/>
                  <w:sz w:val="20"/>
                </w:rPr>
                <w:t>PROPOSAL NO. 8 – TO APPROVE AN AMENDMENT TO OUR 2021 INCENTIVE AWARD PLAN TO INCREASE THE NUMBER OF SHARES OF COMMON STOCK AUTHORIZED FOR ISSUANCE UNDER THE PLAN BY 250,000</w:t>
              </w:r>
            </w:hyperlink>
          </w:p>
        </w:tc>
        <w:tc>
          <w:tcPr>
            <w:tcW w:w="318" w:type="dxa"/>
            <w:tcBorders/>
            <w:shd w:fill="CCEEFF" w:val="clear"/>
            <w:vAlign w:val="center"/>
          </w:tcPr>
          <w:p>
            <w:pPr>
              <w:pStyle w:val="TableContents"/>
              <w:bidi w:val="0"/>
              <w:spacing w:before="0" w:after="283"/>
              <w:jc w:val="left"/>
              <w:rPr/>
            </w:pPr>
            <w:r>
              <w:rPr/>
              <w:t>63</w:t>
            </w:r>
          </w:p>
        </w:tc>
      </w:tr>
      <w:tr>
        <w:trPr/>
        <w:tc>
          <w:tcPr>
            <w:tcW w:w="9887" w:type="dxa"/>
            <w:tcBorders/>
            <w:shd w:fill="FFFFFF" w:val="clear"/>
            <w:vAlign w:val="center"/>
          </w:tcPr>
          <w:p>
            <w:pPr>
              <w:pStyle w:val="TableContents"/>
              <w:bidi w:val="0"/>
              <w:spacing w:before="0" w:after="283"/>
              <w:jc w:val="left"/>
              <w:rPr/>
            </w:pPr>
            <w:hyperlink w:anchor="a016">
              <w:r>
                <w:rPr>
                  <w:rStyle w:val="InternetLink"/>
                  <w:rFonts w:ascii="Times New Roman;Times;Serif" w:hAnsi="Times New Roman;Times;Serif"/>
                  <w:sz w:val="20"/>
                </w:rPr>
                <w:t>PROPOSAL NO. 9 – TO APPROVE ONE OR MORE ADJOURNMENTS OF THE ANNUAL MEETING TO SOLICIT ADDITIONAL PROXIES IN FAVOR OF ANY OR ALL PROPOSALS IF THERE ARE NOT SUFFICIENT VOTES AT THE TIME OF SUCH ADJOURNMENT TO APPROVE ANY OR ALL SUCH PROPOSALS</w:t>
              </w:r>
            </w:hyperlink>
          </w:p>
        </w:tc>
        <w:tc>
          <w:tcPr>
            <w:tcW w:w="318" w:type="dxa"/>
            <w:tcBorders/>
            <w:shd w:fill="FFFFFF" w:val="clear"/>
            <w:vAlign w:val="center"/>
          </w:tcPr>
          <w:p>
            <w:pPr>
              <w:pStyle w:val="TableContents"/>
              <w:bidi w:val="0"/>
              <w:spacing w:before="0" w:after="283"/>
              <w:jc w:val="left"/>
              <w:rPr/>
            </w:pPr>
            <w:r>
              <w:rPr/>
              <w:t>69</w:t>
            </w:r>
          </w:p>
        </w:tc>
      </w:tr>
      <w:tr>
        <w:trPr/>
        <w:tc>
          <w:tcPr>
            <w:tcW w:w="9887" w:type="dxa"/>
            <w:tcBorders/>
            <w:shd w:fill="CCEEFF" w:val="clear"/>
            <w:vAlign w:val="center"/>
          </w:tcPr>
          <w:p>
            <w:pPr>
              <w:pStyle w:val="TableContents"/>
              <w:bidi w:val="0"/>
              <w:spacing w:before="0" w:after="283"/>
              <w:jc w:val="left"/>
              <w:rPr/>
            </w:pPr>
            <w:hyperlink w:anchor="a032">
              <w:r>
                <w:rPr>
                  <w:rStyle w:val="InternetLink"/>
                  <w:rFonts w:ascii="Times New Roman;Times;Serif" w:hAnsi="Times New Roman;Times;Serif"/>
                  <w:sz w:val="20"/>
                </w:rPr>
                <w:t>ADDITIONAL INFORMATION</w:t>
              </w:r>
            </w:hyperlink>
          </w:p>
        </w:tc>
        <w:tc>
          <w:tcPr>
            <w:tcW w:w="318" w:type="dxa"/>
            <w:tcBorders/>
            <w:shd w:fill="CCEEFF" w:val="clear"/>
            <w:vAlign w:val="center"/>
          </w:tcPr>
          <w:p>
            <w:pPr>
              <w:pStyle w:val="TableContents"/>
              <w:bidi w:val="0"/>
              <w:spacing w:before="0" w:after="283"/>
              <w:jc w:val="left"/>
              <w:rPr/>
            </w:pPr>
            <w:r>
              <w:rPr/>
              <w:t>70</w:t>
            </w:r>
          </w:p>
        </w:tc>
      </w:tr>
      <w:tr>
        <w:trPr/>
        <w:tc>
          <w:tcPr>
            <w:tcW w:w="9887" w:type="dxa"/>
            <w:tcBorders/>
            <w:shd w:fill="FFFFFF" w:val="clear"/>
            <w:vAlign w:val="center"/>
          </w:tcPr>
          <w:p>
            <w:pPr>
              <w:pStyle w:val="TableContents"/>
              <w:bidi w:val="0"/>
              <w:spacing w:before="0" w:after="283"/>
              <w:jc w:val="left"/>
              <w:rPr/>
            </w:pPr>
            <w:hyperlink w:anchor="a017">
              <w:r>
                <w:rPr>
                  <w:rStyle w:val="InternetLink"/>
                  <w:rFonts w:ascii="Times New Roman;Times;Serif" w:hAnsi="Times New Roman;Times;Serif"/>
                  <w:sz w:val="20"/>
                </w:rPr>
                <w:t>APPENDIX A – CERTIFICATE OF DESIGNATION OF PREFERENCES, RIGHTS AND LIMITATIONS OF SERIES A-1 8% CONVERTIBLE PREFERRED STOCK</w:t>
              </w:r>
            </w:hyperlink>
          </w:p>
        </w:tc>
        <w:tc>
          <w:tcPr>
            <w:tcW w:w="318" w:type="dxa"/>
            <w:tcBorders/>
            <w:shd w:fill="FFFFFF" w:val="clear"/>
            <w:vAlign w:val="center"/>
          </w:tcPr>
          <w:p>
            <w:pPr>
              <w:pStyle w:val="TableContents"/>
              <w:bidi w:val="0"/>
              <w:spacing w:before="0" w:after="283"/>
              <w:jc w:val="left"/>
              <w:rPr/>
            </w:pPr>
            <w:r>
              <w:rPr/>
              <w:t>A-1</w:t>
            </w:r>
          </w:p>
        </w:tc>
      </w:tr>
      <w:tr>
        <w:trPr/>
        <w:tc>
          <w:tcPr>
            <w:tcW w:w="9887" w:type="dxa"/>
            <w:tcBorders/>
            <w:shd w:fill="CCEEFF" w:val="clear"/>
            <w:vAlign w:val="center"/>
          </w:tcPr>
          <w:p>
            <w:pPr>
              <w:pStyle w:val="TableContents"/>
              <w:bidi w:val="0"/>
              <w:spacing w:before="0" w:after="283"/>
              <w:jc w:val="left"/>
              <w:rPr/>
            </w:pPr>
            <w:hyperlink w:anchor="a018">
              <w:r>
                <w:rPr>
                  <w:rStyle w:val="InternetLink"/>
                  <w:rFonts w:ascii="Times New Roman;Times;Serif" w:hAnsi="Times New Roman;Times;Serif"/>
                  <w:sz w:val="20"/>
                </w:rPr>
                <w:t>APPENDIX B – FORM OF CERTIFICATE OF DESIGNATION OF PREFERENCES, RIGHTS AND LIMITATIONS OF PREFERRED STOCK</w:t>
              </w:r>
            </w:hyperlink>
          </w:p>
        </w:tc>
        <w:tc>
          <w:tcPr>
            <w:tcW w:w="318" w:type="dxa"/>
            <w:tcBorders/>
            <w:shd w:fill="CCEEFF" w:val="clear"/>
            <w:vAlign w:val="center"/>
          </w:tcPr>
          <w:p>
            <w:pPr>
              <w:pStyle w:val="TableContents"/>
              <w:bidi w:val="0"/>
              <w:spacing w:before="0" w:after="283"/>
              <w:jc w:val="left"/>
              <w:rPr/>
            </w:pPr>
            <w:r>
              <w:rPr/>
              <w:t>B-1</w:t>
            </w:r>
          </w:p>
        </w:tc>
      </w:tr>
      <w:tr>
        <w:trPr/>
        <w:tc>
          <w:tcPr>
            <w:tcW w:w="9887" w:type="dxa"/>
            <w:tcBorders/>
            <w:shd w:fill="FFFFFF" w:val="clear"/>
            <w:vAlign w:val="center"/>
          </w:tcPr>
          <w:p>
            <w:pPr>
              <w:pStyle w:val="TableContents"/>
              <w:bidi w:val="0"/>
              <w:spacing w:before="0" w:after="283"/>
              <w:jc w:val="left"/>
              <w:rPr/>
            </w:pPr>
            <w:hyperlink w:anchor="a019">
              <w:r>
                <w:rPr>
                  <w:rStyle w:val="InternetLink"/>
                  <w:rFonts w:ascii="Times New Roman;Times;Serif" w:hAnsi="Times New Roman;Times;Serif"/>
                  <w:sz w:val="20"/>
                </w:rPr>
                <w:t>APPENDIX C – CERTIFICATE OF AMENDMENT TO THE ARTICLES OF INCORPORATION (AUTHORIZED SHARE INCREASE)</w:t>
              </w:r>
            </w:hyperlink>
          </w:p>
        </w:tc>
        <w:tc>
          <w:tcPr>
            <w:tcW w:w="318" w:type="dxa"/>
            <w:tcBorders/>
            <w:shd w:fill="FFFFFF" w:val="clear"/>
            <w:vAlign w:val="center"/>
          </w:tcPr>
          <w:p>
            <w:pPr>
              <w:pStyle w:val="TableContents"/>
              <w:bidi w:val="0"/>
              <w:spacing w:before="0" w:after="283"/>
              <w:jc w:val="left"/>
              <w:rPr/>
            </w:pPr>
            <w:r>
              <w:rPr/>
              <w:t>C-1</w:t>
            </w:r>
          </w:p>
        </w:tc>
      </w:tr>
      <w:tr>
        <w:trPr/>
        <w:tc>
          <w:tcPr>
            <w:tcW w:w="9887" w:type="dxa"/>
            <w:tcBorders/>
            <w:shd w:fill="CCEEFF" w:val="clear"/>
            <w:vAlign w:val="center"/>
          </w:tcPr>
          <w:p>
            <w:pPr>
              <w:pStyle w:val="TableContents"/>
              <w:bidi w:val="0"/>
              <w:spacing w:before="0" w:after="283"/>
              <w:jc w:val="left"/>
              <w:rPr/>
            </w:pPr>
            <w:hyperlink w:anchor="a020">
              <w:r>
                <w:rPr>
                  <w:rStyle w:val="InternetLink"/>
                  <w:rFonts w:ascii="Times New Roman;Times;Serif" w:hAnsi="Times New Roman;Times;Serif"/>
                  <w:sz w:val="20"/>
                </w:rPr>
                <w:t>APPENDIX D – CERTIFICATE OF AMENDMENT TO THE ARTICLES OF INCORPORATION (BLANK CHECK PREFERRED STOCK)</w:t>
              </w:r>
            </w:hyperlink>
          </w:p>
        </w:tc>
        <w:tc>
          <w:tcPr>
            <w:tcW w:w="318" w:type="dxa"/>
            <w:tcBorders/>
            <w:shd w:fill="CCEEFF" w:val="clear"/>
            <w:vAlign w:val="center"/>
          </w:tcPr>
          <w:p>
            <w:pPr>
              <w:pStyle w:val="TableContents"/>
              <w:bidi w:val="0"/>
              <w:spacing w:before="0" w:after="283"/>
              <w:jc w:val="left"/>
              <w:rPr/>
            </w:pPr>
            <w:r>
              <w:rPr/>
              <w:t>D-1</w:t>
            </w:r>
          </w:p>
        </w:tc>
      </w:tr>
      <w:tr>
        <w:trPr/>
        <w:tc>
          <w:tcPr>
            <w:tcW w:w="9887" w:type="dxa"/>
            <w:tcBorders/>
            <w:shd w:fill="FFFFFF" w:val="clear"/>
            <w:vAlign w:val="center"/>
          </w:tcPr>
          <w:p>
            <w:pPr>
              <w:pStyle w:val="TableContents"/>
              <w:bidi w:val="0"/>
              <w:spacing w:before="0" w:after="283"/>
              <w:jc w:val="left"/>
              <w:rPr/>
            </w:pPr>
            <w:hyperlink w:anchor="a021">
              <w:r>
                <w:rPr>
                  <w:rStyle w:val="InternetLink"/>
                  <w:rFonts w:ascii="Times New Roman;Times;Serif" w:hAnsi="Times New Roman;Times;Serif"/>
                  <w:sz w:val="20"/>
                </w:rPr>
                <w:t>APPENDIX E – THIRD AMENDMENT TO THE EXPION ENERGY, INC. 2021 INCENTIVE AWARD PLAN</w:t>
              </w:r>
            </w:hyperlink>
          </w:p>
        </w:tc>
        <w:tc>
          <w:tcPr>
            <w:tcW w:w="318" w:type="dxa"/>
            <w:tcBorders/>
            <w:shd w:fill="FFFFFF" w:val="clear"/>
            <w:vAlign w:val="center"/>
          </w:tcPr>
          <w:p>
            <w:pPr>
              <w:pStyle w:val="TableContents"/>
              <w:bidi w:val="0"/>
              <w:spacing w:before="0" w:after="283"/>
              <w:jc w:val="left"/>
              <w:rPr/>
            </w:pPr>
            <w:r>
              <w:rPr/>
              <w:t>E-1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 w:name="a003"/>
      <w:bookmarkEnd w:id="7"/>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2026 Annual Meeting of Stockholders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Wednesday, November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(this “Proxy Statement”) is solicited on behalf of the board of directors (our “Board”) of Expion Energy, Inc., a Nevada corporation (the “Company,” “we,” “us,” or “ours”), for use at the annual meeting of stockholders (the “Annual Meeting”) to be held on Wednesday, November 4, 2026, at 9:00 a.m. Pacific Time, or at any continuation, postponement, or adjournment thereof. We recently changed our corporate name from “Expion360 Inc.” to “Expion Energy, Inc.” to better align with our expanded energy platform and operating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held for the purposes discussed in this Proxy Statement in the accompanying Notice of 2026 Annual Meeting of Stockholders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004"/>
      <w:bookmarkEnd w:id="8"/>
      <w:r>
        <w:rPr>
          <w:rFonts w:ascii="Times New Roman;Times;Serif" w:hAnsi="Times New Roman;Times;Serif"/>
          <w:b/>
          <w:i w:val="false"/>
          <w:caps w:val="false"/>
          <w:smallCaps w:val="false"/>
          <w:sz w:val="20"/>
        </w:rPr>
        <w:t>QUESTIONS AND ANSWERS ABOUT THE ANNUAL MEETING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questions and answers are intended to briefly address potential questions that our stockholders may have regarding this Proxy Statement and the Annual Meeting. They are also intended to provide our stockholders with certain information that is required to be provided under the Securities and Exchange Commission (the “SEC”) rules. These questions and answers may not address all of the questions that are important to you as a stockholder. If you have additional questions about this Proxy Statement or the Annual Meeting, please refer to the question titled, “</w:t>
      </w:r>
      <w:r>
        <w:rPr>
          <w:rFonts w:ascii="Times New Roman;Times;Serif" w:hAnsi="Times New Roman;Times;Serif"/>
          <w:b w:val="false"/>
          <w:i/>
          <w:caps w:val="false"/>
          <w:smallCaps w:val="false"/>
          <w:sz w:val="20"/>
        </w:rPr>
        <w:t>Who should I contact with other questions?”</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When and where will the Annual Meeting be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will be held on Wednesday, November 4, 2026, at 9:00 a.m. Pacific Time, or at any continuation, postponement, or adjournment thereof. The Annual Meeting will be held at the City Express by Marriott Redmond Bend Airport located at 2243 SW Yew Avenue, Redmond, Oregon 97756.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proposals am I being asked to vote upon at the Annual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proposals to be voted on at the Annual Meeting, and our Board’s recommendation with respect to each proposal,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5"/>
        <w:gridCol w:w="7584"/>
        <w:gridCol w:w="1756"/>
      </w:tblGrid>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Proposal No.</w:t>
            </w:r>
          </w:p>
        </w:tc>
        <w:tc>
          <w:tcPr>
            <w:tcW w:w="758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Proposals</w:t>
            </w:r>
          </w:p>
        </w:tc>
        <w:tc>
          <w:tcPr>
            <w:tcW w:w="175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Recommendation of Our Board</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five directors to serve on our Board for a one-year term of office expiring at the annual meeting of stockholders to be held in 2027 and until their successors have been elected and qualified, or until their earlier death, resignation, or removal;</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FOR”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w:t>
            </w:r>
          </w:p>
          <w:p>
            <w:pPr>
              <w:pStyle w:val="TableContents"/>
              <w:bidi w:val="0"/>
              <w:spacing w:before="0" w:after="0"/>
              <w:ind w:left="0" w:right="0" w:hanging="0"/>
              <w:jc w:val="center"/>
              <w:rPr>
                <w:caps w:val="false"/>
                <w:smallCaps w:val="false"/>
              </w:rPr>
            </w:pPr>
            <w:r>
              <w:rPr>
                <w:caps w:val="false"/>
                <w:smallCaps w:val="false"/>
              </w:rPr>
              <w:t> </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M&amp;K CPAS, PLLC as our independent registered public accounting firm for the year ending December 31, 2026;</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certificate of designation for the creation, designation, and issuance of Series A-1 8% Convertible Preferred Stock (the “Series A-1 Preferred Stock”);</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form of certificate of designation for the creation, designation, and issuance of one or more series of preferred stock (any such stock, the “AIR Preferred Stock”) pursuant to the exercise of the additional investment right granted under the Securities Purchase Agreement, dated August 21, 2026, by and between the Company and the purchasers identified therein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create blank check preferred stock consisting of 20,000,000 shares of preferred stock;</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758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2021 Incentive Award Plan to increase the number of shares of common stock authorized for issuance under the plan by 250,000; and</w:t>
            </w:r>
          </w:p>
          <w:p>
            <w:pPr>
              <w:pStyle w:val="TableContents"/>
              <w:bidi w:val="0"/>
              <w:spacing w:before="0" w:after="0"/>
              <w:ind w:left="0" w:right="0" w:hanging="0"/>
              <w:jc w:val="both"/>
              <w:rPr>
                <w:caps w:val="false"/>
                <w:smallCaps w:val="false"/>
              </w:rPr>
            </w:pPr>
            <w:r>
              <w:rPr>
                <w:caps w:val="false"/>
                <w:smallCaps w:val="false"/>
              </w:rPr>
              <w:t>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r>
        <w:trPr/>
        <w:tc>
          <w:tcPr>
            <w:tcW w:w="8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5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approval of one or more adjournments of the Annual Meeting to solicit additional proxies in favor of any or all proposals if there are not sufficient votes at the time of such adjournment to approve any or all such proposals. </w:t>
            </w:r>
          </w:p>
        </w:tc>
        <w:tc>
          <w:tcPr>
            <w:tcW w:w="1756" w:type="dxa"/>
            <w:tcBorders/>
            <w:vAlign w:val="center"/>
          </w:tcPr>
          <w:p>
            <w:pPr>
              <w:pStyle w:val="TableContents"/>
              <w:bidi w:val="0"/>
              <w:spacing w:before="0" w:after="283"/>
              <w:jc w:val="center"/>
              <w:rPr/>
            </w:pPr>
            <w:r>
              <w:rPr/>
              <w:t>“</w:t>
            </w:r>
            <w:r>
              <w:rPr>
                <w:rFonts w:ascii="Times New Roman;Times;Serif" w:hAnsi="Times New Roman;Times;Serif"/>
                <w:b/>
                <w:sz w:val="20"/>
              </w:rPr>
              <w:t>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am I receiving these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Proxy Statement is solicited on behalf of our Board for use at the Annual Meeting, or at any continuation, postponement, or adjournment thereof, for the purposes discussed in this Proxy Statement and any other business properly brought before the Annual Meeting. Proxies are solicited to give all stockholders of record an opportunity to vote on matters properly presented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proxy materials are available electronically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At this website, you will find a complete set of the proxy materials including the Proxy Statement, our Annual Report on Form 10-K for the year ended December 31, 2025, as amended (our “Annual Report”), and form proxy card. You will also find an agenda for the Annual Meeting, as well as rules and procedures governing the Annual Meeting. You are encouraged to access and review all of the information contained in the proxy materials, and on the meeting website, before submitting a proxy or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Why did I receive a notice in the mail regarding the Internet availability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Instead of mailing printed copies to each of our stockholders, we have elected to provide access to the proxy materials over the Internet under the SEC’s “notice and access” rules. These rules allow us to notify our stockholders of the Annual Meeting and the availability of the proxy materials by sending a Notice of Internet Availability of Proxy Materials, which provides instructions on how to access the full set of proxy materials, including this Proxy Statement and our Annual Report, each of which are available at www.proxyvote.com, how to request printed proxy materials by mail, and how to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can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Only our stockholders at the close of business on September 15, 2026 (the “Record Date”) will be entitled to attend and vote at the Annual Meeting. You are entitled to one vote on each proposal for each share of our common stock, par value $0.001 per share (our “Common Stock”), you held on the Record Date. Your shares may be voted at the Annual Meeting only if you are present in person or your shares are represented by a valid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there were 1,012,498 shares of our Common Stock outstanding and entitled to vote at the Annual Meeting. A list of stockholders entitled to vote at the Annual Meeting will be available for examination by any stockholder for any purpose germane to the Annual Meeting during ordinary business hours at our executive offices located at 2025 SW Deerhound Avenue, Redmond, Oregon 97756 for ten days prior to the Annual Meeting and also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is the difference between a stockholder “of record” and a “street name”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Record Date, your shares are registered directly in your name with our transfer agent, Pacific Stock Transfer Company, you are considered the stockholder of record with respect to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are held in an account at a bank, broker, dealer, or other nominee, then you are the “beneficial owner” of shares held in “street name” and this Proxy Statement is being made available to you by that nominee. Street name holders generally cannot submit a proxy or vote their shares directly and must instead instruct the bank, broker, dealer, or other nominee how to vote their shares. Please contact your nominee directly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is the quorum requirement for the Annual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presence of holders of at least one-third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 </w:t>
      </w:r>
    </w:p>
    <w:p>
      <w:pPr>
        <w:pStyle w:val="TextBody"/>
        <w:bidi w:val="0"/>
        <w:spacing w:before="0" w:after="0"/>
        <w:ind w:left="0" w:right="0" w:hanging="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are present in person at the Annual Meeting;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shares are represented by a properly authorized and submitted proxy (submitted by mail, by telephone, or over the Internet).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you submit your proxy, regardless of whether you abstain from voting on one or more matters, your shares will be counted as present at the Annual Meeting for the purpose of determining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your shares are counted as present for purposes of determining a quorum if your bank, broker, dealer, or other nominee submits a proxy covering your shares. Your nominee is entitled to submit a proxy as to certain “routine” matters (as determined by reference to the rules applicable to such nominees), even if you have not instructed your nominee on how to vote on those matters. Please refer to the question titled, “</w:t>
      </w:r>
      <w:r>
        <w:rPr>
          <w:rFonts w:ascii="Times New Roman;Times;Serif" w:hAnsi="Times New Roman;Times;Serif"/>
          <w:b w:val="false"/>
          <w:i/>
          <w:caps w:val="false"/>
          <w:smallCaps w:val="false"/>
          <w:sz w:val="20"/>
        </w:rPr>
        <w:t>What if I do not specify how I want my shares voted?</w:t>
      </w:r>
      <w:r>
        <w:rPr>
          <w:rFonts w:ascii="Times New Roman;Times;Serif" w:hAnsi="Times New Roman;Times;Serif"/>
          <w:b w:val="false"/>
          <w:i w:val="false"/>
          <w:caps w:val="false"/>
          <w:smallCaps w:val="false"/>
          <w:sz w:val="20"/>
        </w:rPr>
        <w:t>” below. In the absence of a quorum, the Annual Meeting may be adjourned in the manner described in Proposal No.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can I vote my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may vote using any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By Mail</w:t>
            </w:r>
            <w:r>
              <w:rPr>
                <w:rFonts w:ascii="Times New Roman;Times;Serif" w:hAnsi="Times New Roman;Times;Serif"/>
                <w:sz w:val="20"/>
              </w:rPr>
              <w:t>. Stockholders “of record” may submit proxies by completing, signing and dating their proxy cards and mailing them in the accompanying pre-addressed envelopes. Stockholders who hold shares beneficially in “street name” may provide voting instructions by mail by completing, signing and dating the voting instruction forms provided by their bank, broker, dealer, or other nominee and mailing them in the accompanying pre-addressed envelopes.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By Internet</w:t>
            </w:r>
            <w:r>
              <w:rPr>
                <w:rFonts w:ascii="Times New Roman;Times;Serif" w:hAnsi="Times New Roman;Times;Serif"/>
                <w:sz w:val="20"/>
              </w:rPr>
              <w:t xml:space="preserve">. Stockholders “of record” may submit proxies by following the Internet voting instructions on their proxy cards. Internet voting is available 24 hours a day and will be accessible until 11:59 p.m. Eastern Time on Tuesday, November 3, 2026 by visiting </w:t>
            </w:r>
            <w:r>
              <w:rPr>
                <w:rFonts w:ascii="Times New Roman;Times;Serif" w:hAnsi="Times New Roman;Times;Serif"/>
                <w:i/>
                <w:sz w:val="20"/>
              </w:rPr>
              <w:t>www.proxyvote.com </w:t>
            </w:r>
            <w:r>
              <w:rPr>
                <w:rFonts w:ascii="Times New Roman;Times;Serif" w:hAnsi="Times New Roman;Times;Serif"/>
                <w:sz w:val="20"/>
              </w:rPr>
              <w:t>and following the instructions. Stockholders who hold shares beneficially in “street name” may provide voting instructions by accessing the website specified on the voting instruction forms provided by their bank, broker, dealer, or other nominee. Please check the voting instruction form for Internet voting availability.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By Telephone</w:t>
            </w:r>
            <w:r>
              <w:rPr>
                <w:rFonts w:ascii="Times New Roman;Times;Serif" w:hAnsi="Times New Roman;Times;Serif"/>
                <w:sz w:val="20"/>
              </w:rPr>
              <w:t>. Stockholders “of record” who live in the United States or Canada may provide voting instructions by telephone by calling the number specified on their proxy cards. Stockholders who hold shares beneficially in “street name” and live in the United States or Canada may provide voting instructions by telephone by calling the number specified on the voting instructions provided by their bank, broker, dealer, or other nominee. Please check the voting instruction form for telephone voting availability.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In Person at the Annual Meeting</w:t>
            </w:r>
            <w:r>
              <w:rPr>
                <w:rFonts w:ascii="Times New Roman;Times;Serif" w:hAnsi="Times New Roman;Times;Serif"/>
                <w:sz w:val="20"/>
              </w:rPr>
              <w:t>. Stockholders “of record” may vote their shares in person at the Annual Meeting. Stockholders who hold shares held beneficially in “street name” may vote their shares in person only if they obtain a legal proxy from their bank, broker, dealer, or other nominee that holds their shares giving them the right to vote the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Annual Meeting, we recommend that you also submit your proxy or voting instructions by mail, over the Internet, or by telephone so your vote will be counted if you later decide not to attend the Annual Meeting. Internet and telephone voting closes at 11:59 p.m. Eastern Time on Tuesday, November 3, 2026, the day before the Annual Meeting. Stockholders who submit a proxy by Internet or telephone do not need to return a proxy card or the form forwarded by their bank, broker, dealer, or other nominee by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What can I do if I change my mind after I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“of record,” that submit a proxy, may revoke that proxy at any time before it is voted at the Annual Meeting by (i) delivering a written notice of revocation to the attention of the Chief Financial Officer at our executive offices located at 2025 SW Deerhound Avenue, Redmond, Oregon 97756, (ii) duly submitting a later-dated proxy by mail, over the Internet, or by telephone, or (iii) attending the Annual Meeting in person and voting in person. Attendance at the Annual Meeting will not, by itself, revoke a proxy. Stockholders who hold shares beneficially in “street name,” may change their voting instructions by following the instructions from their bank, broker, dealer,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if I receive more than one proxy card or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receive more than one set of proxy materials, it means you hold shares that are registered in more than one account. To ensure that all of your shares are voted, sign and return each proxy card or, if you submit a proxy over the Internet or by telephone, submit one proxy for each proxy card you receive.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will my shares be voted?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“of record” as of the Record Date are entitled to one vote for each share of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if I do not specify how I want my shares voted?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a stockholder “of record,” if you submit a signed proxy card or submit your proxy over the Internet or by telephone and do not specify how you want your shares voted, the person named in the proxy will vote your shares “FOR” each director nominee in Proposal No. 1 and “FOR” Proposal Nos. 2, 3, 4, 5, 6, 7, 8, and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whose shares are held in “street name,” and you do not instruct your bank, broker, dealer, or other nominee how to vote your shares, your nominee may not be able to vote your shares in its discretion. A “broker non-vote” occurs when a nominee holding shares beneficially in “street name” has not received voting instructions from the beneficial owner and the nominee does not have discretionary authority to vote the shares. If you hold your shares in “street name” and do not provide voting instructions to your nominee, your shares will be considered to be broker non-votes and will not be voted on any proposal on which your nominee does not have discretionary authority to vote. Shares that constitute broker non-votes will be counted as present at the Annual Meeting for the purpose of determining a quorum but will not be considered entitled to vote on all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brokers, dealers, and other nominees generally have discretionary authority to vote on Proposal Nos. 2, 6 and 9, which are considered “routine” matters, but do not have discretionary authority to vote on Proposal Nos. 1, 3, 4, 5, 7, and 8, which are considered “non-routine”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their discretion, the proxy holders named in the enclosed proxy card are authorized to vote on any other matters that may properly come before the Annual Meeting and at any continuation, postponement, or adjournment thereof. As of the date of this Proxy Statement, we are not aware of any business to be presented for consideration at the Annual Meeting other than the matters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What are the voting requirements to approve each of the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votes will be tabulated as required by Nevada law, the state of our incorporation, by the inspector of election appointed for the Annual Meeting. Shares held by persons attending the Annual Meeting but not voting, shares represented by proxies that reflect abstentions as to one or more proposals, and broker non-votes will be counted as present for purposes of determining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requirements to approve each of the proposals to be voted upon at the Annual Meeting, as well as the effects of abstentions and broker non-votes on each of the proposals,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05"/>
        <w:gridCol w:w="2276"/>
        <w:gridCol w:w="2603"/>
        <w:gridCol w:w="2321"/>
      </w:tblGrid>
      <w:tr>
        <w:trPr/>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Proposal </w:t>
            </w:r>
          </w:p>
        </w:tc>
        <w:tc>
          <w:tcPr>
            <w:tcW w:w="2276"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Requirement</w:t>
            </w:r>
          </w:p>
        </w:tc>
        <w:tc>
          <w:tcPr>
            <w:tcW w:w="2603"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Withheld Votes or Abstentions</w:t>
            </w:r>
          </w:p>
        </w:tc>
        <w:tc>
          <w:tcPr>
            <w:tcW w:w="232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Broker Non-Votes</w:t>
            </w:r>
          </w:p>
        </w:tc>
      </w:tr>
      <w:tr>
        <w:trPr/>
        <w:tc>
          <w:tcPr>
            <w:tcW w:w="30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five directors to serve on our Board for a one-year term of office expiring at the annual meeting of stockholders to be held in 2027 and until their successors have been elected and qualified, or until their earlier death, resignation, or removal.</w:t>
            </w:r>
          </w:p>
        </w:tc>
        <w:tc>
          <w:tcPr>
            <w:tcW w:w="2276" w:type="dxa"/>
            <w:tcBorders>
              <w:left w:val="single" w:sz="8" w:space="0" w:color="000000"/>
              <w:bottom w:val="single" w:sz="8" w:space="0" w:color="000000"/>
            </w:tcBorders>
            <w:tcMar>
              <w:left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nominee will be elected by a plurality of the votes cast under Proposal No. 1 (assuming that a quorum is present).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“plurality of the votes” means that the five director nominees receiving the highest number of votes at the Annual Meeting will be elected. </w:t>
            </w:r>
          </w:p>
        </w:tc>
        <w:tc>
          <w:tcPr>
            <w:tcW w:w="2603"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“WITHHOLD” vote with respect to a director nominee will not count as a vote cast for that or any other nominee, and thus will have no effect on the outcome of the vote on this proposal.</w:t>
            </w:r>
          </w:p>
        </w:tc>
        <w:tc>
          <w:tcPr>
            <w:tcW w:w="232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no effect on the outcome of the vote on this proposal. </w:t>
            </w:r>
          </w:p>
        </w:tc>
      </w:tr>
      <w:tr>
        <w:trPr/>
        <w:tc>
          <w:tcPr>
            <w:tcW w:w="3005" w:type="dxa"/>
            <w:tcBorders>
              <w:left w:val="single" w:sz="8" w:space="0" w:color="000000"/>
              <w:bottom w:val="single" w:sz="8" w:space="0" w:color="000000"/>
            </w:tcBorders>
            <w:tcMar>
              <w:left w:w="10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M&amp;K CPAS, PLLC as our independent registered public accounting firm for the year ending December 31, 2026.</w:t>
            </w:r>
          </w:p>
        </w:tc>
        <w:tc>
          <w:tcPr>
            <w:tcW w:w="2276"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that the number of votes cast “FOR” Proposal No. 2 exceeds the number of votes cast “AGAINST” Proposal No. 2 (assuming that a quorum is present).</w:t>
            </w:r>
          </w:p>
        </w:tc>
        <w:tc>
          <w:tcPr>
            <w:tcW w:w="2603"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2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Because a bank, broker, dealer, or other nominee may generally vote without instructions on this proposal, we do not expect any broker non-votes to result for this proposal. </w:t>
            </w:r>
          </w:p>
        </w:tc>
      </w:tr>
      <w:tr>
        <w:trPr/>
        <w:tc>
          <w:tcPr>
            <w:tcW w:w="30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certificate of designation for the creation, designation, and issuance of the Series A-1 Preferred Stock.</w:t>
            </w:r>
          </w:p>
        </w:tc>
        <w:tc>
          <w:tcPr>
            <w:tcW w:w="2276"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the affirmative vote of a majority of the voting power of the outstanding shares of our Common Stock (assuming that a quorum is present).</w:t>
            </w:r>
          </w:p>
        </w:tc>
        <w:tc>
          <w:tcPr>
            <w:tcW w:w="2603"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“ABSTAIN” vote will have the same effect as a vote “AGAINST” this proposal. </w:t>
            </w:r>
          </w:p>
        </w:tc>
        <w:tc>
          <w:tcPr>
            <w:tcW w:w="232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the same effect as a vote “AGAINST” this proposal. </w:t>
            </w:r>
          </w:p>
        </w:tc>
      </w:tr>
      <w:tr>
        <w:trPr/>
        <w:tc>
          <w:tcPr>
            <w:tcW w:w="30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form of certificate of designation for the creation, designation, and issuance of one or more series of AIR Preferred Stock pursuant to the exercise of the additional investment right granted under the Securities Purchase Agreement.</w:t>
            </w:r>
          </w:p>
        </w:tc>
        <w:tc>
          <w:tcPr>
            <w:tcW w:w="2276"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the affirmative vote of a majority of the voting power of the outstanding shares of our Common Stock (assuming that a quorum is present).</w:t>
            </w:r>
          </w:p>
        </w:tc>
        <w:tc>
          <w:tcPr>
            <w:tcW w:w="2603"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“ABSTAIN” vote will have the same effect as a vote “AGAINST” this proposal. </w:t>
            </w:r>
          </w:p>
        </w:tc>
        <w:tc>
          <w:tcPr>
            <w:tcW w:w="2321" w:type="dxa"/>
            <w:tcBorders>
              <w:left w:val="single" w:sz="8" w:space="0" w:color="000000"/>
              <w:bottom w:val="single" w:sz="8" w:space="0" w:color="000000"/>
            </w:tcBorders>
            <w:tcMar>
              <w:lef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the same effect as a vote “AGAINST” this proposal.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3889"/>
        <w:gridCol w:w="2281"/>
        <w:gridCol w:w="1639"/>
        <w:gridCol w:w="2396"/>
      </w:tblGrid>
      <w:tr>
        <w:trPr/>
        <w:tc>
          <w:tcPr>
            <w:tcW w:w="38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5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tc>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that the number of votes cast “FOR” Proposal No. 5 exceeds the number of votes cast “AGAINST” Proposal No. 5 (assuming that a quorum is present).</w:t>
            </w:r>
          </w:p>
        </w:tc>
        <w:tc>
          <w:tcPr>
            <w:tcW w:w="16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 non-votes will have no effect on the outcome of the vote on this proposal.</w:t>
            </w:r>
          </w:p>
        </w:tc>
      </w:tr>
      <w:tr>
        <w:trPr/>
        <w:tc>
          <w:tcPr>
            <w:tcW w:w="38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6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tc>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Requires that the number of votes cast “FOR” Proposal No. 6 exceeds the number of votes cast “AGAINST” Proposal No. 6 (assuming that a quorum is present).</w:t>
            </w:r>
          </w:p>
          <w:p>
            <w:pPr>
              <w:pStyle w:val="TableContents"/>
              <w:bidi w:val="0"/>
              <w:spacing w:before="0" w:after="0"/>
              <w:ind w:left="0" w:right="0" w:hanging="0"/>
              <w:jc w:val="left"/>
              <w:rPr>
                <w:caps w:val="false"/>
                <w:smallCaps w:val="false"/>
              </w:rPr>
            </w:pPr>
            <w:r>
              <w:rPr>
                <w:caps w:val="false"/>
                <w:smallCaps w:val="false"/>
              </w:rPr>
              <w:t> </w:t>
            </w:r>
          </w:p>
        </w:tc>
        <w:tc>
          <w:tcPr>
            <w:tcW w:w="16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Because a bank, broker, dealer, or other nominee may generally vote without instructions on this proposal, we do not expect any broker non-votes to result for this proposal.</w:t>
            </w:r>
          </w:p>
        </w:tc>
      </w:tr>
      <w:tr>
        <w:trPr/>
        <w:tc>
          <w:tcPr>
            <w:tcW w:w="38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7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Articles of Incorporation to create blank check preferred stock consisting of 20,000,000 shares of preferred stock. </w:t>
            </w:r>
          </w:p>
        </w:tc>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Requires the affirmative vote of a majority of the voting power of the outstanding shares of our Common Stock (assuming that a quorum is present).</w:t>
            </w:r>
          </w:p>
        </w:tc>
        <w:tc>
          <w:tcPr>
            <w:tcW w:w="16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An “ABSTAIN” vote will have the same effect as a vote “AGAINST” this proposal. </w:t>
            </w:r>
          </w:p>
        </w:tc>
        <w:tc>
          <w:tcPr>
            <w:tcW w:w="2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the same effect as a vote “AGAINST” this proposal. </w:t>
            </w:r>
          </w:p>
        </w:tc>
      </w:tr>
      <w:tr>
        <w:trPr/>
        <w:tc>
          <w:tcPr>
            <w:tcW w:w="388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8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an amendment to our 2021 Incentive Award Plan to increase the number of shares of common stock authorized for issuance under the plan by 250,000. </w:t>
            </w:r>
          </w:p>
        </w:tc>
        <w:tc>
          <w:tcPr>
            <w:tcW w:w="22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Requires that the number of votes cast “FOR” Proposal No. 8 exceeds the number of votes cast “AGAINST” Proposal No. 8 (assuming that a quorum is present).</w:t>
            </w:r>
          </w:p>
        </w:tc>
        <w:tc>
          <w:tcPr>
            <w:tcW w:w="163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“ABSTAIN” vote will have no effect on the outcome of the vote on this proposal.</w:t>
            </w:r>
          </w:p>
        </w:tc>
        <w:tc>
          <w:tcPr>
            <w:tcW w:w="23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Broker non-votes will have no effect on the outcome of the vote on this proposal.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3086"/>
        <w:gridCol w:w="2749"/>
        <w:gridCol w:w="1908"/>
        <w:gridCol w:w="2462"/>
      </w:tblGrid>
      <w:tr>
        <w:trPr/>
        <w:tc>
          <w:tcPr>
            <w:tcW w:w="3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9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one or more adjournments of the Annual Meeting to solicit additional proxies in favor of any or all proposals if there are not sufficient votes at the time of such adjournment to approve any or all such proposals.</w:t>
            </w:r>
          </w:p>
          <w:p>
            <w:pPr>
              <w:pStyle w:val="TableContents"/>
              <w:bidi w:val="0"/>
              <w:spacing w:before="0" w:after="0"/>
              <w:ind w:left="0" w:right="0" w:hanging="0"/>
              <w:jc w:val="left"/>
              <w:rPr>
                <w:caps w:val="false"/>
                <w:smallCaps w:val="false"/>
              </w:rPr>
            </w:pPr>
            <w:r>
              <w:rPr>
                <w:caps w:val="false"/>
                <w:smallCaps w:val="false"/>
              </w:rPr>
              <w:t> </w:t>
            </w:r>
          </w:p>
        </w:tc>
        <w:tc>
          <w:tcPr>
            <w:tcW w:w="27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present, requires that the number of votes cast “FOR” Proposal No. 9 exceeds the number of votes cast “AGAINST” Proposal No.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requires that a majority of the voting power of our Common Stock represented at the Annual Meeting, or the person presiding at the Annual Meeting approves Proposal No. 9. </w:t>
            </w:r>
          </w:p>
        </w:tc>
        <w:tc>
          <w:tcPr>
            <w:tcW w:w="190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“ABSTAIN” vote will have no effect on the outcome of the vote on this proposal.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an “ABSTAIN” vote will have the same effect as a vote “AGAINST” this proposal. </w:t>
            </w:r>
          </w:p>
          <w:p>
            <w:pPr>
              <w:pStyle w:val="TableContents"/>
              <w:bidi w:val="0"/>
              <w:spacing w:before="0" w:after="0"/>
              <w:ind w:left="0" w:right="0" w:hanging="0"/>
              <w:jc w:val="left"/>
              <w:rPr>
                <w:caps w:val="false"/>
                <w:smallCaps w:val="false"/>
              </w:rPr>
            </w:pPr>
            <w:r>
              <w:rPr>
                <w:caps w:val="false"/>
                <w:smallCaps w:val="false"/>
              </w:rPr>
              <w:t> </w:t>
            </w:r>
          </w:p>
        </w:tc>
        <w:tc>
          <w:tcPr>
            <w:tcW w:w="246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Because a bank, broker, dealer, or other nominee may generally vote without instructions on this proposal, we do not expect any broker non-votes to result for this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entire cost of solicitation of proxies, including preparation, assembly and mailing of this Proxy Statement, the proxy, the Notice and any additional information furnished to stockholders. Copies of solicitation materials will be furnished to banks, brokers, dealers, and other nominees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 We expect to retain one or more proxy solicitation firms and will pay aggregate fees of approximately $50,000 plus reasonable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may I obtain an additional copy of the proxy materials? How may I reduce the number of copies our household receives?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banks and brokers)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may potentially result in added convenience for stockholders and cost savings for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bank or broker. If you are a stockholder “of record,” you may call Broadridge at (800) 542-1061 or submit a request in writing to Broadridge Financial Solutions, Inc., Householding Department at 51 Mercedes Way, Edgewood, New York, 11717.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 How can I receive future proxy statements and related materials electronically?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would like to reduce the costs incurred by us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Where can I find the voting results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 will announce preliminary voting results with respect to each proposal at the Annual Meeting. In accordance with SEC rules, final voting results will be published in a Current Report on Form 8-K within four business days following the Annual Meeting, unless final results are not known at that time, in which case preliminary voting results will be published within four business days of the Annual Meeting and final voting results will be published once we know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 Who should I contact with other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have additional questions about this Proxy Statement or the Annual Meeting, or if you would like additional copies of this Proxy Statement, please contact our Chief Financial Officer at: Expion Energy, Inc., 2025 SW Deerhound Avenue, Redmond, Oregon 97756.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005"/>
      <w:bookmarkEnd w:id="9"/>
      <w:r>
        <w:rPr>
          <w:rFonts w:ascii="Times New Roman;Times;Serif" w:hAnsi="Times New Roman;Times;Serif"/>
          <w:b/>
          <w:i w:val="false"/>
          <w:caps w:val="false"/>
          <w:smallCaps w:val="false"/>
          <w:sz w:val="20"/>
        </w:rPr>
        <w:t>DIRECTORS, EXECUTIVE OFFICERS AND 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managed under the direction of our Board. Our Board meets on a regularly scheduled basis to review significant developments affecting the Company and to act on matters requiring Board approval. Our Board also holds special meetings when an important matter requires Board action between scheduled meetings and also acts by unanimous written consent when necessary and appropriate. Our Board met six times during 2025. In addition, our Board took action ten times during 2025 by unanimous written consent in lieu of a meeting, as permitted by applicable law. During 2025, each member of our Board attended or participated in 75% or more of the aggregate of the total number of meetings of our Board and committees on which they served during the period for which such director was serving as a director. While we do not have a written policy on Board attendance at annual meetings of stockholders, we expect all current directors to attend our annual meetings of stockholders barring unforeseen circumstances or irresolvable conflicts. Four of our directors who were serving as directors at the time attended our annual meeting of stockholders held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formal policy requiring separation of the roles of Chairman of the Board and Chief Executive Officer. Instead, our governance framework provides our Board with the flexibility to select the leadership structure it determines is the most appropriate to enable our Board to carry out its responsibilities effectively and best represent the interests of our stockholders. In making leadership structure determinations, our Board considers a number of factors, including the current and projected needs of the business, the size and composition of our Board, and the specific skills and qualifications of our management team and individual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separate the roles of Chairman of the Board and Chief Executive Officer, with Scott Burell serving as our Chairman of the Board, and Kevin Sellers serving as our President and Chief Executive Officer.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recent expansion of our energy platform through our entry into the oil and gas sector, and the accompanying strategic changes to our management team and Board composition, we believe separating these roles is appropriate as it allows Mr. Burell to lead our Board in overseeing the Company’s governance and risk management functions, while allowing Mr. Sellers to focus on the Company’s day-to-day operations and expansion of our business strategy. We believe this leadership structure is appropriate for us at this time because it appropriately allocates authority and responsibility between the Board and management, reflects the size and composition of our Board, and considers the backgrounds, experiences and skills of our management team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reassess the appropriate leadership structure from time to time, and it reserves the right to make changes in the future, however, our Board believes separating our Chairman of the Board and Chief Executive Officer roles remains the optimal structure for us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Qualifications and Diversity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(the “Nominating and Corporate Governance Committee”) is responsible for reviewing corporate governance; identifying, reviewing, and managing our Board’s composition; evaluating our Board’s performance under our Code of Business Conduct and Ethics and our other governance policies; ensuring compliance with all applicable laws, regulations, and best practices; ensuring the adequacy of our committee charters and other governance policies; recommending persons for election to our Board; reviewing the composition of our Board’s committees and recommending persons to serve as members of those committees; and reviewing conflicts of interest involving members of our Board and our corporate officers. Our Nominating and Corporate Governance Committee may use outside consultants to assist in identifying candidates and will also consider advice and recommendations from stockholders, management, and others as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evaluating director nominees, our Nominating and Corporate Governance Committee considers the following factors:</w:t>
      </w:r>
    </w:p>
    <w:p>
      <w:pPr>
        <w:pStyle w:val="TextBody"/>
        <w:bidi w:val="0"/>
        <w:spacing w:before="0" w:after="0"/>
        <w:ind w:left="0"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7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current size and composition of our Board and the needs of our Board and respective Board committees;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experience and acumen, integrity, willingness to devote the necessary time and energy to fulfill director responsibilities, independence, judgment, diversity of experience, length of service, and potential conflicts of interest; and</w:t>
            </w:r>
          </w:p>
        </w:tc>
      </w:tr>
    </w:tbl>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that our Nominating and Corporate Governance committee may consider appropriate.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assemble a board of directors that brings together a variety of skills derived from high quality business and professional experience. While we do not have a formal diversity policy for Board membership, our Board does seek to ensure that its membership consists of sufficiently diverse backgrounds, meaning a mix of backgrounds and experiences that will enhance the quality of our Board’s deliberations and decisions. In considering candidates for our Board, our Nominating and Corporate Governance Committee considers, among other factors, diversity with respect to viewpoints, skills, experience, and other demographics.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 and Charters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our Audit Committee, Compensation Committee, and Nominating and Corporate Governance Committee. Our Board maintains a charter for each of these standing committees, and the charters are available in the “Corporate Governance” section of our investor relations website at </w:t>
      </w:r>
      <w:r>
        <w:rPr>
          <w:rFonts w:ascii="Times New Roman;Times;Serif" w:hAnsi="Times New Roman;Times;Serif"/>
          <w:b w:val="false"/>
          <w:i/>
          <w:caps w:val="false"/>
          <w:smallCaps w:val="false"/>
          <w:sz w:val="20"/>
        </w:rPr>
        <w:t>investors.expion360.com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audit committee (our “Audit Committee”) established in accordance with Section 3(a)(58)(A) of the Securities Exchange Act of 1934, as amended (the “Exchange Act”). Our Audit Committee consists of Messrs. Burell (Chair), Lefevre, and Shum, each of whom meets the independence requirements under the rules of The Nasdaq Stock Market LLC (“Nasdaq”) and the SEC, and is financially literate. Each of Messrs. Burell, Lefevre and Shum has been determined by our Board to be an “audit committee financial expert” as such term is defined under SEC rules and regulations. Our Board has considered the independence and other characteristics of each member of our Audit Committee and believes that each member meets the independence and other requirements of Nasdaq and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operates under a written charter that satisfies the applicable rules and regulations of the SEC and the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among other things, is responsible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integrity of our financial statements and the other financial information we provide to our stockholders and other interested parties;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periodic reviews conducted by our independent registered public accounting firm and management regarding the adequacy of our auditing, accounting, and financial reporting processes and systems of internal control;</w:t>
            </w:r>
          </w:p>
        </w:tc>
      </w:tr>
    </w:tbl>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selection, retention, compensation, and termination of our independent registered public accounting firm;</w:t>
            </w:r>
          </w:p>
        </w:tc>
      </w:tr>
    </w:tbl>
    <w:tbl>
      <w:tblPr>
        <w:tblW w:w="8403" w:type="dxa"/>
        <w:jc w:val="left"/>
        <w:tblInd w:w="0" w:type="dxa"/>
        <w:tblLayout w:type="fixed"/>
        <w:tblCellMar>
          <w:top w:w="0" w:type="dxa"/>
          <w:left w:w="0" w:type="dxa"/>
          <w:bottom w:w="0" w:type="dxa"/>
          <w:right w:w="0" w:type="dxa"/>
        </w:tblCellMar>
      </w:tblPr>
      <w:tblGrid>
        <w:gridCol w:w="38"/>
        <w:gridCol w:w="17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independence and performance of our independent registered public accounting firm;</w:t>
            </w:r>
          </w:p>
        </w:tc>
      </w:tr>
    </w:tbl>
    <w:tbl>
      <w:tblPr>
        <w:tblW w:w="9618" w:type="dxa"/>
        <w:jc w:val="left"/>
        <w:tblInd w:w="0" w:type="dxa"/>
        <w:tblLayout w:type="fixed"/>
        <w:tblCellMar>
          <w:top w:w="0" w:type="dxa"/>
          <w:left w:w="0" w:type="dxa"/>
          <w:bottom w:w="0" w:type="dxa"/>
          <w:right w:w="0" w:type="dxa"/>
        </w:tblCellMar>
      </w:tblPr>
      <w:tblGrid>
        <w:gridCol w:w="38"/>
        <w:gridCol w:w="17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facilitating communication among our independent registered public accounting firm, management, and our Board;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policies and procedures with respect to legal, ethical, and regulatory compliance, and discussing with management our major financial risk exposures and risk management policies;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our audit committee report required by SEC rules and regulations to be included in our annual proxy statement; and</w:t>
            </w:r>
          </w:p>
        </w:tc>
      </w:tr>
    </w:tbl>
    <w:tbl>
      <w:tblPr>
        <w:tblW w:w="9933" w:type="dxa"/>
        <w:jc w:val="left"/>
        <w:tblInd w:w="0" w:type="dxa"/>
        <w:tblLayout w:type="fixed"/>
        <w:tblCellMar>
          <w:top w:w="0" w:type="dxa"/>
          <w:left w:w="0" w:type="dxa"/>
          <w:bottom w:w="0" w:type="dxa"/>
          <w:right w:w="0" w:type="dxa"/>
        </w:tblCellMar>
      </w:tblPr>
      <w:tblGrid>
        <w:gridCol w:w="38"/>
        <w:gridCol w:w="17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duties and responsibilities as are enumerated in and consistent with our Audit Committee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Audit Committee met four times and took action by unanimous written consent one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compensation committee (our “Compensation Committee”), which consists of Messrs. Shum (Chair), Burell, and Lefevre. Each member of our Compensation Committee meets the requirements for independence under the rules of Nasdaq and the SEC, and is a nonemployee director as defined by Rule 16b-3 promulgated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oversees our compensation structure and practices for both executive officers and director compensation, including incentive-based compensation and equity-based plans. Our Compensation Committee reviews and evaluates the performance of our directors and executive officers, recommends to our Board the form and amount of compensation to be paid by us to directors, and determines and approves the compensation of our Chief Executive Officer and other executive officers. Our Compensation Committee may use outside consultants it deems necessary or appropriate to carry out its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operates under a written charter that satisfies the applicable rules and regulations of the SEC and the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among other things, is responsible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our Board in developing and reviewing compensation programs applicable to our executive officers and directors;</w:t>
            </w:r>
          </w:p>
        </w:tc>
      </w:tr>
    </w:tbl>
    <w:tbl>
      <w:tblPr>
        <w:tblW w:w="7668" w:type="dxa"/>
        <w:jc w:val="left"/>
        <w:tblInd w:w="0" w:type="dxa"/>
        <w:tblLayout w:type="fixed"/>
        <w:tblCellMar>
          <w:top w:w="0" w:type="dxa"/>
          <w:left w:w="0" w:type="dxa"/>
          <w:bottom w:w="0" w:type="dxa"/>
          <w:right w:w="0" w:type="dxa"/>
        </w:tblCellMar>
      </w:tblPr>
      <w:tblGrid>
        <w:gridCol w:w="38"/>
        <w:gridCol w:w="17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our Company’s overall compensation philosophy, strategy, and objectives;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the total compensation opportunity, as well as each component of compensation, paid to our executive officers and directors;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administering our equity-based and cash-based compensation plans applicable to our directors, officers, and employees, and reviewing and evaluating director compensation, including compensation for service on Board committees, on at least an annual basis;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the report of our Compensation Committee required by SEC rules to be included in our annual proxy statement; and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duties and responsibilities as are enumerated in and consistent with our Compensation Committee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Compensation Committee met five times and took action by unanimous written consent two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separately designated standing Nominating and Corporate Governance Committee, which consists of Messrs. Lefevre (Chair), Burell, and Shum. Each member of our Nominating and Corporate Governance Committee meets the requirements for independence under the rules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responsibility of our Nominating and Corporate Governance Committee is to identify and recommend to our Board director nominees. We also consider any nominations of director candidates validly made by our stockholders if submitted in a timely manner and will apply the same criteria to all persons being considered.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operates under a written charter that satisfies the listing standards of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among other things, is responsible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our Board in identifying candidates qualified to serve as directors, consistent with selection criteria approved by our Board and our Nominating and Corporate Governance Committee;</w:t>
            </w:r>
          </w:p>
        </w:tc>
      </w:tr>
    </w:tbl>
    <w:tbl>
      <w:tblPr>
        <w:tblW w:w="8163" w:type="dxa"/>
        <w:jc w:val="left"/>
        <w:tblInd w:w="0" w:type="dxa"/>
        <w:tblLayout w:type="fixed"/>
        <w:tblCellMar>
          <w:top w:w="0" w:type="dxa"/>
          <w:left w:w="0" w:type="dxa"/>
          <w:bottom w:w="0" w:type="dxa"/>
          <w:right w:w="0" w:type="dxa"/>
        </w:tblCellMar>
      </w:tblPr>
      <w:tblGrid>
        <w:gridCol w:w="38"/>
        <w:gridCol w:w="17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to our Board the appointment of director nominees that meet the selection criteria;</w:t>
            </w:r>
          </w:p>
        </w:tc>
      </w:tr>
    </w:tbl>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to our Board the appointment of directors to serve on each Board committee;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recommending to our Board such corporate governance policies and procedures as our Nominating and Corporate Governance Committee determines are appropriate from time to time;</w:t>
            </w:r>
          </w:p>
        </w:tc>
      </w:tr>
    </w:tbl>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performance of our Board and each of its committees;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performing such other duties and responsibilities as are consistent with our Nominating and Corporate Governance Committee charter.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our Nominating and Corporate Governance Committee met one time and took action by unanimous written consent two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Nominations for Directorships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recommend individuals to our Nominating and Corporate Governance Committee for consideration as potential director candidates by submitting their names and background to the Secretary of the Company, in accordance with the provisions of our Amended and Restated Bylaws (our “Bylaws”), at the address and within the timeframes set forth in the section of this Proxy Statement titled “</w:t>
      </w:r>
      <w:r>
        <w:rPr>
          <w:rFonts w:ascii="Times New Roman;Times;Serif" w:hAnsi="Times New Roman;Times;Serif"/>
          <w:b w:val="false"/>
          <w:i/>
          <w:caps w:val="false"/>
          <w:smallCaps w:val="false"/>
          <w:sz w:val="20"/>
        </w:rPr>
        <w:t>Stockholder Proposals and Director Nominations for 2027 Annual Meeting</w:t>
      </w:r>
      <w:r>
        <w:rPr>
          <w:rFonts w:ascii="Times New Roman;Times;Serif" w:hAnsi="Times New Roman;Times;Serif"/>
          <w:b w:val="false"/>
          <w:i w:val="false"/>
          <w:caps w:val="false"/>
          <w:smallCaps w:val="false"/>
          <w:sz w:val="20"/>
        </w:rPr>
        <w:t>” below. Our Nominating and Corporate Governance Committee will review and consider only those recommendations that are timely submitted and include the appropriate biographical and other information, including, but not limited to, the items listed below:</w:t>
      </w:r>
    </w:p>
    <w:p>
      <w:pPr>
        <w:pStyle w:val="TextBody"/>
        <w:bidi w:val="0"/>
        <w:spacing w:before="0" w:after="0"/>
        <w:ind w:left="0"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and address of record of the stockholder;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representation that the stockholder is a record holder of the our securities, or if the stockholder is not a record holder, evidence of ownership in accordance with Rule 14a-8(b)(2) of the Exchange Act;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age, business and residential address, educational background, current principal occupation or employment, and principal occupation or employment for the preceding five full fiscal years of the proposed director candidate;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qualifications and background of the proposed director candidate and a representation that the proposed director candidate meets applicable independence requirements;</w:t>
            </w:r>
          </w:p>
        </w:tc>
      </w:tr>
    </w:tbl>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any arrangements or understandings between the stockholder and the proposed director candidate;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consent of the proposed director candidate to be named in the proxy statement relating to our annual meeting of stockholders and to serve as a director if elected at such annual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appropriate information is provided for candidates recommended by stockholders, our Nominating and Corporate Governance Committee will evaluate those candidates by following substantially the same process, and applying substantially the same criteria, as for candidates submitted by members of our Board or other persons, as described above and as set forth in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oversight responsibility for the processes established to report and monitor material risks applicable to the Company. Our Board also oversees the appropriate allocation of responsibility for risk oversight among our Board committees. Our Audit Committee plays a central role in overseeing the integrity of our financial statements and reviewing and approving the performance of our internal audit function and independent accountants. Our Compensation Committee monitors the design and administration of our compensation programs to ensure that they incentivize strong individual and group performance and include appropriate safeguards to avoid unintended or excessive risk taking by our officers and employees. Our Nominating and Corporate Governance Committee is responsible for oversight of risks related to succession planning and the attraction and retention of talent.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Times;Serif" w:hAnsi="Times New Roman;Times;Serif"/>
          <w:b w:val="false"/>
          <w:i/>
          <w:caps w:val="false"/>
          <w:smallCaps w:val="false"/>
          <w:sz w:val="20"/>
        </w:rPr>
        <w:t>investors.expion360.com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 or any of our other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directors satisfy the criteria for “independent directors,” under Nasdaq rules. Our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with the Company, and otherwise satisfy the independence requirements of Nasdaq rules, will be considered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affirmatively determined that Messrs. Burell, Lefevre and Shum do not have a relationship that would interfere with the exercise of independent judgment in carrying out the responsibilities of a director and that each of these directors is “independent” as that term is defined under applicable Nasdaq rules. As a result, a majority of our directors are independent, as required under applicable Nasdaq rules. Our independent directors meet in regularly scheduled executive sessions at which only independent directors are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 and Other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executive officers, directors or director nominees. There are no arrangements or understandings between or among our executive officers, directors or director nominees pursuant to which any executive officer, director or director nominees was or is to be selected as an executive officer or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legal proceedings related to any of our directors or executive officers which are required to be disclosed pursuant to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with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provides an opportunity each year for our stockholders to ask questions of, or otherwise communicate directly with, members of our Board on appropriate matters. In addition, any interested party may communicate in writing with any particular director, including our Chairman of the Board, any committee of our Board, or the directors as a group, by sending such written communication to our Secretary at our executive offices located at Expion Energy, Inc., 2025 SW Deerhound Avenue, Redmond, Oregon 97756. Copies of written communications received at such address will be provided to our Board or the relevant director unless such communications are considered, in the reasonable judgment of our Secretary, to be inappropriate for submission to the intended recipient(s). The Secretary or his designee may analyze and prepare a response to the information contained in communications received and may deliver a copy of the communication to our staff members or agents who are responsible for analyzing or responding to complaints or requests. Communications concerning potential director nominees submitted by any of our stockholders will be forwarded to the Chair of our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Hedging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insider trading policy (the “Insider Trading Policy”) that prohibits our directors, officers that are subject to Section 16 of the Exchange Act, and certain other designated employees from (i) purchasing and selling put options, call options or other derivatives of our securities and (ii) engaging in short sales of our securities. These prohibitions apply to our securities held directly and indirectly, including our securities granted as part of compensation to such aforementioned parties. There are no categories of hedging transactions that are specifically permitted by the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12a"/>
      <w:bookmarkEnd w:id="10"/>
      <w:r>
        <w:rPr>
          <w:rFonts w:ascii="Times New Roman;Times;Serif" w:hAnsi="Times New Roman;Times;Serif"/>
          <w:b/>
          <w:i w:val="false"/>
          <w:caps w:val="false"/>
          <w:smallCaps w:val="false"/>
          <w:sz w:val="20"/>
        </w:rPr>
        <w:t>RELATED-PERSON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written related-party transaction policy that governs the review and approval of transactions, arrangements or relationships in which the Company is a participant and a related person has a direct or indirect material interest, as defined under Item 404 of Regulation S-K. This policy applies to transactions where the amount involved exceeds $120,000 and covers, among other things, indebtedness, employment arrangements, and other financial relationships. Under the policy, our Audit Committee considers all relevant facts and circumstances when evaluating such transactions, including whether the terms are comparable to those available in an arm's-length transaction and the extent of the related person’s interest.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we entered into the Securities Purchase Agreement with the purchasers identified on the signature pages thereto (the “Purchasers”) providing for the issuance and sale to the Purchasers of: (i) 8% Convertible Debentures Due August 21, 2029 in the aggregate principal amount of $9,000,000 (the “Convertible Debentures”), which may become convertible into 9,000 shares of Series A-1 Preferred Stock, and (ii) Common Stock Purchase Warrants (the “Warrants”) to purchase up to 2,117,219 shares of common stock (the “Private Placement”). For additional information regarding the terms of the Private Placement, see “Proposal No. 3” and “Proposal No. 5” elsewhere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Narrow Lane, LP (“FNL”) was the lead Purchaser in the Private Placement. Our former Chief Executive Officer and Chairman of the Board, Joseph Hammer, serves as a managing member of the general partner of FNL and may be deemed to share voting and dispositive power over the shares of Common Stock issuable upon conversion of the Series A-1 Preferred Stock and upon exercise of the Warrants. No other director or executive officer has any substantial interest, direct or indirect, by security holdings or otherwise, in the Private Placement that is not shared by all of our other stockholders. The Private Placement was approved by the disinterested members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Cynergy Exploration Agreement and ORRI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we entered into an exploration agreement (the “Exploration Agreement”) relating to an oil and gas exploration opportunity encompassing an area of mutual interest in Eastern Louisiana (the “AMI”). The Exploration Agreement reserves overriding royalty interests (“ORRI”) to certain parties, including Cynergy Advisors, LLC (“Cynergy”). Kevin Sellers, our President, Chief Executive Officer and a member of our Board, and Marc Jarvis, a member of our Board, are each managing members and partners of Cynergy and have an indirect material interest in the Cynergy ORRI, although no payments have been made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Cynergy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a consulting and due diligence engagement agreement (the “Consulting Agreement”) with Cynergy pursuant to which Cynergy was engaged to coordinate and oversee the closing of our acquisition related to the oil and gas exploration opportunity described above, and to provide advisory and technical support services in connection with the drilling and development of a wellbore located in the AMI. Under the Consulting Agreement, Cynergy is authorized to engage third-party vendors and service providers on behalf of the Company in furtherance of these services, subject to certain thresholds. Cynergy is not entitled to receive any direct payments from the Company pursuant to the Consulting Agreement (other than the reimbursement of expenses), although Cynergy may be entitled to receive the Cynergy ORRI based, in part, on the services provided pursuant to the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Sellers is responsible for directing and overseeing the services provided by Cynergy on behalf of the Company. Mr. Sellers, as a managing member and partner of Cynergy and as our President, Chief Executive Officer, and director, has a direct material interest in the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024"/>
      <w:bookmarkEnd w:id="11"/>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executive officers as of September 1, 2026:</w:t>
      </w:r>
    </w:p>
    <w:p>
      <w:pPr>
        <w:pStyle w:val="TextBody"/>
        <w:bidi w:val="0"/>
        <w:spacing w:before="0" w:after="0"/>
        <w:ind w:left="0" w:right="0" w:hanging="0"/>
        <w:jc w:val="both"/>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610"/>
        <w:gridCol w:w="350"/>
        <w:gridCol w:w="3920"/>
      </w:tblGrid>
      <w:tr>
        <w:trPr/>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Age</w:t>
            </w:r>
          </w:p>
        </w:tc>
        <w:tc>
          <w:tcPr>
            <w:tcW w:w="39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Position</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Sellers</w:t>
            </w:r>
            <w:r>
              <w:rPr>
                <w:rFonts w:ascii="Times New Roman;Times;Serif" w:hAnsi="Times New Roman;Times;Serif"/>
                <w:position w:val="7"/>
                <w:sz w:val="16"/>
                <w:sz w:val="20"/>
              </w:rPr>
              <w:t>(1)</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39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 </w:t>
            </w:r>
          </w:p>
        </w:tc>
      </w:tr>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Winspear</w:t>
            </w:r>
            <w:r>
              <w:rPr>
                <w:rFonts w:ascii="Times New Roman;Times;Serif" w:hAnsi="Times New Roman;Times;Serif"/>
                <w:position w:val="7"/>
                <w:sz w:val="16"/>
                <w:sz w:val="20"/>
              </w:rPr>
              <w:t>(2)</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39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 and Treasurer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Effective August 24, 2026, Joseph Hammer resigned from his role as Chief Executive Officer and, effective as of August 28, 2026, resigned from his role as Chairman of the Board. Mr. Sellers was appointed to serve as the Chief Executive Officer and as a member of our Board, effective immediately upon Mr. Hammer’s resignation. </w:t>
            </w:r>
          </w:p>
        </w:tc>
      </w:tr>
      <w:tr>
        <w:trPr/>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(2) </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July 29, 2026, Shawna Bowin provided notice of her resignation as Chief Financial Officer. Effective August 25, 2026, Mr. Winspear was appointed to serve as Chief Financial Officer, Secretary and Treasurer. Ms. Bowin is assisting with the orderly transition of her roles and responsibilities through approximately October 31, 2026, during which time she will serve as Vice President, Finance.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are appointed by the directors and the directors may, at any time, terminate the appointment or otherwise revoke, withdraw, alter, or vary all or any of the functions, duties, and powers of the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Mr. Winspear. Biographical information for Mr. Sellers can be found in Proposal No. 1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Robert Winspear – Chief Financial Officer, Secretary and Treasurer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Mr. Winspear was appointed as Chief Financial Officer, Secretary and Treasurer, effective August 25, 2026. Mr. Winspear has over 30 years of experience as an executive officer and director of both private and public companies. From September 2021 to June 2026, Mr. Winspear served as the Chief Financial Officer and Secretary of Blackboxstocks Inc., and continued in his role as Chief Financial Officer and director following its merger with REalloys Inc., a rare earth metals and permanent magnet company, which began trading on the Nasdaq Capital Market as REalloys Inc. (Nasdaq: ALOY) on February 25, 2026. Mr. Winspear was also Vice President, Secretary and Chief Financial Officer of Excel Corporation, a credit card processing company (formerly OTC: EXCC), from May 2014 to June 2017. Since 2002, he has served as President of Winspear Investments LLC, a Dallas-based private investment firm specializing in lower middle market transactions. Winspear Investments has made investments in a wide range of industries, including banking, real estate, distribution, supply chain management, mega yacht marinas and hedge funds. Mr. Winspear has served on the boards of several public and private entities. Mr. Winspear started his career with Arthur Andersen in Dallas, Texas. Mr. Winspear holds a B.B.A. and a M.P.A. from the University of Texas at Austin.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025"/>
      <w:bookmarkStart w:id="13" w:name="a006"/>
      <w:bookmarkEnd w:id="12"/>
      <w:bookmarkEnd w:id="13"/>
      <w:r>
        <w:rPr>
          <w:rFonts w:ascii="Times New Roman;Times;Serif" w:hAnsi="Times New Roman;Times;Serif"/>
          <w:b/>
          <w:i w:val="false"/>
          <w:caps w:val="false"/>
          <w:smallCaps w:val="false"/>
          <w:sz w:val="20"/>
        </w:rPr>
        <w:t>EXECUTIVE COMPENSATION DISCUSSION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our executive officers who are named in the “Summary Compensation Table” below. In 2025, our “named executive officers” and their positions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Joseph Hammer</w:t>
            </w:r>
            <w:r>
              <w:rPr>
                <w:rFonts w:ascii="Times New Roman;Times;Serif" w:hAnsi="Times New Roman;Times;Serif"/>
                <w:sz w:val="20"/>
              </w:rPr>
              <w:t>, who served as our Chief Executive Officer and Chairman of the Board from October 2025 through August 2026;</w:t>
            </w:r>
          </w:p>
        </w:tc>
      </w:tr>
    </w:tbl>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Shawna Bowin</w:t>
            </w:r>
            <w:r>
              <w:rPr>
                <w:rFonts w:ascii="Times New Roman;Times;Serif" w:hAnsi="Times New Roman;Times;Serif"/>
                <w:b w:val="false"/>
                <w:i w:val="false"/>
                <w:caps w:val="false"/>
                <w:smallCaps w:val="false"/>
                <w:sz w:val="20"/>
              </w:rPr>
              <w:t>, who served as our Chief Financial Officer from September 2025 through August 2026;</w:t>
            </w:r>
          </w:p>
        </w:tc>
      </w:tr>
    </w:tbl>
    <w:p>
      <w:pPr>
        <w:pStyle w:val="TextBody"/>
        <w:bidi w:val="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Carson Heagen</w:t>
            </w:r>
            <w:r>
              <w:rPr>
                <w:rFonts w:ascii="Times New Roman;Times;Serif" w:hAnsi="Times New Roman;Times;Serif"/>
                <w:b w:val="false"/>
                <w:i w:val="false"/>
                <w:caps w:val="false"/>
                <w:smallCaps w:val="false"/>
                <w:sz w:val="20"/>
              </w:rPr>
              <w:t>, who served as our Chief Operating Officer from April 2025 through August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Brian Schaffner</w:t>
            </w:r>
            <w:r>
              <w:rPr>
                <w:rFonts w:ascii="Times New Roman;Times;Serif" w:hAnsi="Times New Roman;Times;Serif"/>
                <w:b w:val="false"/>
                <w:i w:val="false"/>
                <w:caps w:val="false"/>
                <w:smallCaps w:val="false"/>
                <w:sz w:val="20"/>
              </w:rPr>
              <w:t>, who served as our Chief Executive Officer through October 2025, and as our Interim Chief Financial Officer through September 2025;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Paul Shoun</w:t>
            </w:r>
            <w:r>
              <w:rPr>
                <w:rFonts w:ascii="Times New Roman;Times;Serif" w:hAnsi="Times New Roman;Times;Serif"/>
                <w:b w:val="false"/>
                <w:i w:val="false"/>
                <w:caps w:val="false"/>
                <w:smallCaps w:val="false"/>
                <w:sz w:val="20"/>
              </w:rPr>
              <w:t>, who served as our Co-Founder, President, and Chairman of the Board through October 2025, and as our Chief Operating Officer from the Company’s inception in June 2016 through April 2025.</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On July 21, 2026, we effected a 1-for-12 reverse stock split of our issued and outstanding shares of Common Stock (the “Reverse Stock Split”). All prior period share, equity award and per share amounts and calculations in this Proxy Statement have been retroactively adjusted to reflect the impact of the Reverse Stock Split.</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026"/>
      <w:bookmarkEnd w:id="14"/>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named executive officers for the years ended December 31, 2025 and December 31, 2024. The amounts set forth in the table have been calculated in accordance with the requirements of applicable SEC rules, and do not necessarily reflect the amounts that have actually been paid to, or which may be realized by,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38"/>
        <w:gridCol w:w="60"/>
        <w:gridCol w:w="60"/>
        <w:gridCol w:w="500"/>
        <w:gridCol w:w="60"/>
        <w:gridCol w:w="60"/>
        <w:gridCol w:w="60"/>
        <w:gridCol w:w="800"/>
        <w:gridCol w:w="120"/>
        <w:gridCol w:w="60"/>
        <w:gridCol w:w="62"/>
        <w:gridCol w:w="831"/>
        <w:gridCol w:w="62"/>
        <w:gridCol w:w="60"/>
        <w:gridCol w:w="60"/>
        <w:gridCol w:w="680"/>
        <w:gridCol w:w="60"/>
        <w:gridCol w:w="60"/>
        <w:gridCol w:w="74"/>
        <w:gridCol w:w="992"/>
        <w:gridCol w:w="74"/>
        <w:gridCol w:w="60"/>
        <w:gridCol w:w="71"/>
        <w:gridCol w:w="959"/>
        <w:gridCol w:w="205"/>
        <w:gridCol w:w="60"/>
        <w:gridCol w:w="60"/>
        <w:gridCol w:w="980"/>
        <w:gridCol w:w="77"/>
      </w:tblGrid>
      <w:tr>
        <w:trPr/>
        <w:tc>
          <w:tcPr>
            <w:tcW w:w="2938"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620" w:type="dxa"/>
            <w:gridSpan w:val="3"/>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8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955"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80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14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RSU Awards ($)</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23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117"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p>
            <w:pPr>
              <w:pStyle w:val="TableContents"/>
              <w:bidi w:val="0"/>
              <w:spacing w:before="0" w:after="0"/>
              <w:ind w:left="0" w:right="0" w:hanging="24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tc>
      </w:tr>
      <w:tr>
        <w:trPr/>
        <w:tc>
          <w:tcPr>
            <w:tcW w:w="29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Hammer</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68,750</w:t>
            </w:r>
          </w:p>
        </w:tc>
        <w:tc>
          <w:tcPr>
            <w:tcW w:w="1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68,750</w:t>
            </w:r>
          </w:p>
        </w:tc>
        <w:tc>
          <w:tcPr>
            <w:tcW w:w="77"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FFFFFF" w:val="clear"/>
            <w:tcMar>
              <w:bottom w:w="0" w:type="dxa"/>
            </w:tcMar>
            <w:vAlign w:val="center"/>
          </w:tcPr>
          <w:p>
            <w:pPr>
              <w:pStyle w:val="TableContents"/>
              <w:bidi w:val="0"/>
              <w:spacing w:before="0" w:after="283"/>
              <w:jc w:val="left"/>
              <w:rPr/>
            </w:pPr>
            <w:r>
              <w:rPr/>
              <w:t>Former Chief Executive Officer and 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  </w:t>
            </w:r>
          </w:p>
        </w:tc>
        <w:tc>
          <w:tcPr>
            <w:tcW w:w="12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1"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92" w:type="dxa"/>
            <w:tcBorders>
              <w:bottom w:val="single" w:sz="8" w:space="0" w:color="000000"/>
            </w:tcBorders>
            <w:shd w:fill="FFFFFF" w:val="clear"/>
            <w:vAlign w:val="center"/>
          </w:tcPr>
          <w:p>
            <w:pPr>
              <w:pStyle w:val="TableContents"/>
              <w:bidi w:val="0"/>
              <w:spacing w:before="0" w:after="283"/>
              <w:jc w:val="righ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CCEEFF" w:val="clear"/>
            <w:tcMar>
              <w:bottom w:w="0" w:type="dxa"/>
            </w:tcMar>
            <w:vAlign w:val="center"/>
          </w:tcPr>
          <w:p>
            <w:pPr>
              <w:pStyle w:val="TableContents"/>
              <w:bidi w:val="0"/>
              <w:spacing w:before="0" w:after="283"/>
              <w:jc w:val="left"/>
              <w:rPr/>
            </w:pPr>
            <w:r>
              <w:rPr/>
              <w:t>Brian Schaffner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223,567</w:t>
            </w:r>
          </w:p>
        </w:tc>
        <w:tc>
          <w:tcPr>
            <w:tcW w:w="1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179,206</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42,344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161,550</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692,417</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1,299,084</w:t>
            </w:r>
          </w:p>
        </w:tc>
        <w:tc>
          <w:tcPr>
            <w:tcW w:w="77"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FFFFFF" w:val="clear"/>
            <w:tcMar>
              <w:bottom w:w="0" w:type="dxa"/>
            </w:tcMar>
            <w:vAlign w:val="center"/>
          </w:tcPr>
          <w:p>
            <w:pPr>
              <w:pStyle w:val="TableContents"/>
              <w:bidi w:val="0"/>
              <w:spacing w:before="0" w:after="283"/>
              <w:jc w:val="left"/>
              <w:rPr/>
            </w:pPr>
            <w:r>
              <w:rPr/>
              <w:t>Former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282,400</w:t>
            </w:r>
          </w:p>
        </w:tc>
        <w:tc>
          <w:tcPr>
            <w:tcW w:w="120" w:type="dxa"/>
            <w:tcBorders/>
            <w:shd w:fill="FFFFFF" w:val="clear"/>
            <w:tcMar>
              <w:bottom w:w="0" w:type="dxa"/>
            </w:tcMar>
            <w:vAlign w:val="center"/>
          </w:tcPr>
          <w:p>
            <w:pPr>
              <w:pStyle w:val="TableContents"/>
              <w:bidi w:val="0"/>
              <w:spacing w:before="0" w:after="283"/>
              <w:jc w:val="right"/>
              <w:rPr>
                <w:position w:val="5"/>
                <w:sz w:val="11"/>
                <w:sz w:val="14"/>
              </w:rPr>
            </w:pPr>
            <w:r>
              <w:rPr>
                <w:position w:val="5"/>
                <w:sz w:val="11"/>
                <w:sz w:val="14"/>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1"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92" w:type="dxa"/>
            <w:tcBorders>
              <w:bottom w:val="single" w:sz="8" w:space="0" w:color="000000"/>
            </w:tcBorders>
            <w:shd w:fill="FFFFFF" w:val="clear"/>
            <w:vAlign w:val="center"/>
          </w:tcPr>
          <w:p>
            <w:pPr>
              <w:pStyle w:val="TableContents"/>
              <w:bidi w:val="0"/>
              <w:spacing w:before="0" w:after="283"/>
              <w:jc w:val="right"/>
              <w:rPr/>
            </w:pPr>
            <w:r>
              <w:rPr/>
              <w:t>12,176</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294,576</w:t>
            </w:r>
          </w:p>
        </w:tc>
        <w:tc>
          <w:tcPr>
            <w:tcW w:w="77"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 Shoun</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219,675</w:t>
            </w:r>
          </w:p>
        </w:tc>
        <w:tc>
          <w:tcPr>
            <w:tcW w:w="1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184,206</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45,031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161,550</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734,956</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1,345,418</w:t>
            </w:r>
          </w:p>
        </w:tc>
        <w:tc>
          <w:tcPr>
            <w:tcW w:w="77"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FFFFFF" w:val="clear"/>
            <w:tcMar>
              <w:bottom w:w="0" w:type="dxa"/>
            </w:tcMar>
            <w:vAlign w:val="center"/>
          </w:tcPr>
          <w:p>
            <w:pPr>
              <w:pStyle w:val="TableContents"/>
              <w:bidi w:val="0"/>
              <w:spacing w:before="0" w:after="283"/>
              <w:jc w:val="left"/>
              <w:rPr/>
            </w:pPr>
            <w:r>
              <w:rPr/>
              <w:t>Former President, Chief Operating Officer and Chairman of the Board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234,050</w:t>
            </w:r>
          </w:p>
        </w:tc>
        <w:tc>
          <w:tcPr>
            <w:tcW w:w="120" w:type="dxa"/>
            <w:tcBorders/>
            <w:shd w:fill="FFFFFF" w:val="clear"/>
            <w:tcMar>
              <w:bottom w:w="0" w:type="dxa"/>
            </w:tcMar>
            <w:vAlign w:val="center"/>
          </w:tcPr>
          <w:p>
            <w:pPr>
              <w:pStyle w:val="TableContents"/>
              <w:bidi w:val="0"/>
              <w:spacing w:before="0" w:after="283"/>
              <w:jc w:val="right"/>
              <w:rPr>
                <w:position w:val="5"/>
                <w:sz w:val="11"/>
                <w:sz w:val="14"/>
              </w:rPr>
            </w:pPr>
            <w:r>
              <w:rPr>
                <w:position w:val="5"/>
                <w:sz w:val="11"/>
                <w:sz w:val="14"/>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1"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92" w:type="dxa"/>
            <w:tcBorders>
              <w:bottom w:val="single" w:sz="8" w:space="0" w:color="000000"/>
            </w:tcBorders>
            <w:shd w:fill="FFFFFF" w:val="clear"/>
            <w:vAlign w:val="center"/>
          </w:tcPr>
          <w:p>
            <w:pPr>
              <w:pStyle w:val="TableContents"/>
              <w:bidi w:val="0"/>
              <w:spacing w:before="0" w:after="283"/>
              <w:jc w:val="right"/>
              <w:rPr/>
            </w:pPr>
            <w:r>
              <w:rPr/>
              <w:t>12,176</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246,226</w:t>
            </w:r>
          </w:p>
        </w:tc>
        <w:tc>
          <w:tcPr>
            <w:tcW w:w="77"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Shawna Bowin</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127,795</w:t>
            </w:r>
          </w:p>
        </w:tc>
        <w:tc>
          <w:tcPr>
            <w:tcW w:w="1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197,000</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4,689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153,363</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158,667</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641,514</w:t>
            </w:r>
          </w:p>
        </w:tc>
        <w:tc>
          <w:tcPr>
            <w:tcW w:w="77"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FFFFFF" w:val="clear"/>
            <w:tcMar>
              <w:bottom w:w="0" w:type="dxa"/>
            </w:tcMar>
            <w:vAlign w:val="center"/>
          </w:tcPr>
          <w:p>
            <w:pPr>
              <w:pStyle w:val="TableContents"/>
              <w:bidi w:val="0"/>
              <w:spacing w:before="0" w:after="283"/>
              <w:jc w:val="left"/>
              <w:rPr/>
            </w:pPr>
            <w:r>
              <w:rPr/>
              <w:t>Former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00" w:type="dxa"/>
            <w:tcBorders>
              <w:bottom w:val="single" w:sz="8" w:space="0" w:color="000000"/>
            </w:tcBorders>
            <w:shd w:fill="FFFFFF" w:val="cle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  </w:t>
            </w:r>
          </w:p>
        </w:tc>
        <w:tc>
          <w:tcPr>
            <w:tcW w:w="12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831" w:type="dxa"/>
            <w:tcBorders>
              <w:bottom w:val="single" w:sz="8" w:space="0" w:color="000000"/>
            </w:tcBorders>
            <w:shd w:fill="FFFFFF" w:val="cle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bottom w:val="single" w:sz="8" w:space="0" w:color="000000"/>
            </w:tcBorders>
            <w:shd w:fill="FFFFFF" w:val="clear"/>
            <w:vAlign w:val="center"/>
          </w:tcPr>
          <w:p>
            <w:pPr>
              <w:pStyle w:val="TableContents"/>
              <w:bidi w:val="0"/>
              <w:spacing w:before="0" w:after="283"/>
              <w:jc w:val="left"/>
              <w:rPr/>
            </w:pPr>
            <w:r>
              <w:rPr/>
              <w:t> </w:t>
            </w:r>
          </w:p>
        </w:tc>
        <w:tc>
          <w:tcPr>
            <w:tcW w:w="992" w:type="dxa"/>
            <w:tcBorders>
              <w:bottom w:val="single" w:sz="8" w:space="0" w:color="000000"/>
            </w:tcBorders>
            <w:shd w:fill="FFFFFF" w:val="clear"/>
            <w:vAlign w:val="center"/>
          </w:tcPr>
          <w:p>
            <w:pPr>
              <w:pStyle w:val="TableContents"/>
              <w:bidi w:val="0"/>
              <w:spacing w:before="0" w:after="283"/>
              <w:jc w:val="righ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bottom w:val="single" w:sz="8" w:space="0" w:color="000000"/>
            </w:tcBorders>
            <w:shd w:fill="FFFFFF" w:val="clear"/>
            <w:vAlign w:val="center"/>
          </w:tcPr>
          <w:p>
            <w:pPr>
              <w:pStyle w:val="TableContents"/>
              <w:bidi w:val="0"/>
              <w:spacing w:before="0" w:after="283"/>
              <w:jc w:val="left"/>
              <w:rPr/>
            </w:pPr>
            <w:r>
              <w:rPr/>
              <w:t> </w:t>
            </w:r>
          </w:p>
        </w:tc>
        <w:tc>
          <w:tcPr>
            <w:tcW w:w="959" w:type="dxa"/>
            <w:tcBorders>
              <w:bottom w:val="single" w:sz="8" w:space="0" w:color="000000"/>
            </w:tcBorders>
            <w:shd w:fill="FFFFFF" w:val="cle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Carson Heagen</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172,500</w:t>
            </w:r>
          </w:p>
        </w:tc>
        <w:tc>
          <w:tcPr>
            <w:tcW w:w="1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31" w:type="dxa"/>
            <w:tcBorders/>
            <w:shd w:fill="CCEEFF" w:val="clear"/>
            <w:tcMar>
              <w:bottom w:w="0" w:type="dxa"/>
            </w:tcMar>
            <w:vAlign w:val="center"/>
          </w:tcPr>
          <w:p>
            <w:pPr>
              <w:pStyle w:val="TableContents"/>
              <w:bidi w:val="0"/>
              <w:spacing w:before="0" w:after="283"/>
              <w:jc w:val="right"/>
              <w:rPr/>
            </w:pPr>
            <w:r>
              <w:rPr/>
              <w:t>271,114</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32,076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161,550</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959" w:type="dxa"/>
            <w:tcBorders/>
            <w:shd w:fill="CCEEFF" w:val="clear"/>
            <w:tcMar>
              <w:bottom w:w="0" w:type="dxa"/>
            </w:tcMar>
            <w:vAlign w:val="center"/>
          </w:tcPr>
          <w:p>
            <w:pPr>
              <w:pStyle w:val="TableContents"/>
              <w:bidi w:val="0"/>
              <w:spacing w:before="0" w:after="283"/>
              <w:jc w:val="right"/>
              <w:rPr/>
            </w:pPr>
            <w:r>
              <w:rPr/>
              <w:t>148,602</w:t>
            </w:r>
          </w:p>
        </w:tc>
        <w:tc>
          <w:tcPr>
            <w:tcW w:w="205" w:type="dxa"/>
            <w:tcBorders/>
            <w:shd w:fill="CCEEFF" w:val="clear"/>
            <w:tcMar>
              <w:bottom w:w="0" w:type="dxa"/>
            </w:tcMar>
            <w:vAlign w:val="center"/>
          </w:tcPr>
          <w:p>
            <w:pPr>
              <w:pStyle w:val="TableContents"/>
              <w:bidi w:val="0"/>
              <w:spacing w:before="0" w:after="283"/>
              <w:jc w:val="left"/>
              <w:rPr>
                <w:position w:val="5"/>
                <w:sz w:val="11"/>
                <w:sz w:val="14"/>
              </w:rPr>
            </w:pPr>
            <w:r>
              <w:rPr>
                <w:position w:val="5"/>
                <w:sz w:val="11"/>
                <w:sz w:val="14"/>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785,842</w:t>
            </w:r>
          </w:p>
        </w:tc>
        <w:tc>
          <w:tcPr>
            <w:tcW w:w="77" w:type="dxa"/>
            <w:tcBorders/>
            <w:shd w:fill="CCEEFF" w:val="clear"/>
            <w:tcMar>
              <w:bottom w:w="0" w:type="dxa"/>
            </w:tcMar>
            <w:vAlign w:val="center"/>
          </w:tcPr>
          <w:p>
            <w:pPr>
              <w:pStyle w:val="TableContents"/>
              <w:bidi w:val="0"/>
              <w:spacing w:before="0" w:after="283"/>
              <w:ind w:left="0" w:right="0" w:hanging="240"/>
              <w:jc w:val="left"/>
              <w:rPr/>
            </w:pPr>
            <w:r>
              <w:rPr/>
              <w:t> </w:t>
            </w:r>
          </w:p>
        </w:tc>
      </w:tr>
      <w:tr>
        <w:trPr/>
        <w:tc>
          <w:tcPr>
            <w:tcW w:w="2938" w:type="dxa"/>
            <w:tcBorders/>
            <w:shd w:fill="FFFFFF" w:val="clear"/>
            <w:tcMar>
              <w:bottom w:w="0" w:type="dxa"/>
            </w:tcMar>
            <w:vAlign w:val="center"/>
          </w:tcPr>
          <w:p>
            <w:pPr>
              <w:pStyle w:val="TableContents"/>
              <w:bidi w:val="0"/>
              <w:spacing w:before="0" w:after="283"/>
              <w:jc w:val="left"/>
              <w:rPr/>
            </w:pPr>
            <w:r>
              <w:rPr/>
              <w:t>Former Chief Operating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120"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31" w:type="dxa"/>
            <w:tcBorders/>
            <w:shd w:fill="FFFFFF" w:val="clear"/>
            <w:tcMar>
              <w:bottom w:w="0" w:type="dxa"/>
            </w:tcMar>
            <w:vAlign w:val="center"/>
          </w:tcPr>
          <w:p>
            <w:pPr>
              <w:pStyle w:val="TableContents"/>
              <w:bidi w:val="0"/>
              <w:spacing w:before="0" w:after="283"/>
              <w:jc w:val="righ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959" w:type="dxa"/>
            <w:tcBorders/>
            <w:shd w:fill="FFFFFF" w:val="clear"/>
            <w:tcMar>
              <w:bottom w:w="0" w:type="dxa"/>
            </w:tcMar>
            <w:vAlign w:val="center"/>
          </w:tcPr>
          <w:p>
            <w:pPr>
              <w:pStyle w:val="TableContents"/>
              <w:bidi w:val="0"/>
              <w:spacing w:before="0" w:after="283"/>
              <w:jc w:val="right"/>
              <w:rPr/>
            </w:pPr>
            <w:r>
              <w:rPr/>
              <w:t>—  </w:t>
            </w:r>
          </w:p>
        </w:tc>
        <w:tc>
          <w:tcPr>
            <w:tcW w:w="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ind w:left="0" w:right="0" w:hanging="240"/>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for 2025 reflect a combination of cash incentive bonuses paid pursuant to the 2025 Employee Incentive Plan and discretionary bonuses approved by the Compensation Committee. Each of our named executive officers voluntarily declined to receive any cash bonuses in 2024. See the section titled “Cash Bonuses” below for additional information.</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full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the Annual Report, which is incorporated herein by reference.</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 the grant-date fair value of restricted stock units (“RSUs”) granted during the applicable year computed in accordance with ASC Topic 718.</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Hammer was appointed Chief Executive Officer and Chairman of the Board in October 2025 and was not a named executive officer for 2024. Effective as of August 24, 2026, Mr. Hammer resigned from his role as Chief Executive Officer and, effective as of August 28, 2026, resigned from his role as Chairman of the Board.</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$564,800 in severance payments made pursuant to the Schaffner Severance Agreement (as defined below), (ii) $96,361 in tax gross-up payments made in connection with the issuance of RSUs, and (iii) $31,256 for the cash payout of Paid Time Off (“PTO”) earned but not used.</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Schaffner voluntarily deferred a portion of his base salary in 2024, which was paid in full in 2025.</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Shoun took a temporary unpaid leave of absence beginning in November 2024 and ending in January 2025. The salary amounts represent the pro-rated portion of his base salary actually paid after taking into account the unpaid leave.</w:t>
            </w:r>
          </w:p>
          <w:p>
            <w:pPr>
              <w:pStyle w:val="TableContents"/>
              <w:bidi w:val="0"/>
              <w:spacing w:before="0" w:after="0"/>
              <w:ind w:left="0" w:right="0" w:hanging="240"/>
              <w:jc w:val="both"/>
              <w:rPr>
                <w:caps w:val="false"/>
                <w:smallCaps w:val="false"/>
              </w:rPr>
            </w:pPr>
            <w:r>
              <w:rPr>
                <w:caps w:val="false"/>
                <w:smallCaps w:val="false"/>
              </w:rPr>
              <w:t> </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100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$564,800 in severance payments made pursuant to the Shoun Severance Agreement (as defined below), (ii) $145,176 in tax gross-up payments made in connection with the issuance of RSUs, and (iii) $24,980 for the cash payout of PTO earned but not used.</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ind w:left="0" w:right="0" w:hanging="240"/>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Shoun voluntarily deferred a portion of his base salary in 2024, which was paid in full in 2025.</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Bowin was appointed Chief Financial Officer in September 2025 and was not a named executive officer for 2024. On July 29, 2026, Shawna Bowin provided notice of her resignation as Chief Financial Officer.</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(i) $142,922 in tax gross-up payments made in connection with the issuance of RSUs, and (ii) $15,745 for tuition reimbursement and related costs.</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(12)</w:t>
            </w:r>
          </w:p>
        </w:tc>
        <w:tc>
          <w:tcPr>
            <w:tcW w:w="98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Heagen was appointed Chief Operating Officer in April 2025 and was not a named executive officer for 2024. Effective as of August 1, 2026, Mr. Heagen resigned from his role as Chief Operating Officer.</w:t>
            </w:r>
          </w:p>
          <w:p>
            <w:pPr>
              <w:pStyle w:val="TableContents"/>
              <w:bidi w:val="0"/>
              <w:spacing w:before="0" w:after="0"/>
              <w:ind w:left="0" w:right="0" w:hanging="240"/>
              <w:jc w:val="both"/>
              <w:rPr>
                <w:caps w:val="false"/>
                <w:smallCaps w:val="false"/>
              </w:rPr>
            </w:pPr>
            <w:r>
              <w:rPr>
                <w:caps w:val="false"/>
                <w:smallCaps w:val="false"/>
              </w:rPr>
              <w:t> </w:t>
            </w:r>
          </w:p>
        </w:tc>
      </w:tr>
      <w:tr>
        <w:trPr/>
        <w:tc>
          <w:tcPr>
            <w:tcW w:w="3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(13)</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includes (i) $145,140 in tax gross-up payments made in connection with the issuance of RSUs, and (ii) $3,462 for the cash payout of PTO earned but not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 a base salary to compensate them for services rendered to us. The base salary payable to each named executive officer is intended to provide a fixed component of compensation and is based on a number of factors, including the executive’s title, role, level of responsibility, and experience. Base salaries are initially established in the employment agreements entered into with each executive, and are reviewed on an annual basis by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annual base salary for (i) Mr. Hammer was $330,000 for his service as our former Chief Executive Officer and Chairman of the Board, (ii) Mr. Schaffner was $282,400 for his service as our former Chief Executive Officer, (iii) Mr. Shoun was $282,400 for his service as our former President and Chief Operating Officer, (iv) Mr. Heagen was $180,000 for his service as our former Chief Operating Officer, and (v) Ms. Bowin was $192,000 for her service as our former Chief Financial Officer, in each case consistent with the terms of their respective employment agreements. Effective July 6, 2026, Mr. Hammer voluntarily reduced his annual base salary to $264,000. Mr. Hammer did not receive any additional compensation for serving as Chairman of the Board. Please refer to the section titled “</w:t>
      </w:r>
      <w:r>
        <w:rPr>
          <w:rFonts w:ascii="Times New Roman;Times;Serif" w:hAnsi="Times New Roman;Times;Serif"/>
          <w:b w:val="false"/>
          <w:i/>
          <w:caps w:val="false"/>
          <w:smallCaps w:val="false"/>
          <w:sz w:val="20"/>
        </w:rPr>
        <w:t>Executive Compensation Arrangements</w:t>
      </w:r>
      <w:r>
        <w:rPr>
          <w:rFonts w:ascii="Times New Roman;Times;Serif" w:hAnsi="Times New Roman;Times;Serif"/>
          <w:b w:val="false"/>
          <w:i w:val="false"/>
          <w:caps w:val="false"/>
          <w:smallCaps w:val="false"/>
          <w:sz w:val="20"/>
        </w:rPr>
        <w:t>”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Bonuses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Employee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Compensation Committee approved the 2025 Employee Incentive Plan (the “2025 Plan”). The 2025 Plan provided, among other things, for the payment of cash incentive bonuses (the “Incentive Bonuses”) to our named executive officers based upon the achievement of pre-determined performance milestones selected by the Compensation Committee that are aligned with our strategic objectives and intended to create long-term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amounts for each of the Incentive Bonuses were generally based on a percentage of each named executive officer’s base salary. The performance milestones were different for each named executive officer and were designed to incentivize performance towards those objectives that each executive had the ability to influence or control. Each named executive officer had the opportunity to earn multiple Incentive Bonuses based on the achievement of individual performance milestones (i.e., achievement of each milestone was assessed independently rather than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the performance milestones selected by the Compensation Committee related to achievement of net sales targets, operational efficiency objectives, completion of strategic and financing transactions, product certifications, and timely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achievement of the milestones, payout was contingent on a minimum cash balance target as of the payment date, as determined by the Compensation Committee. In addition, our named executive officers were required to remain employed by the Company at the time Incentive Bonuses were paid. Named executive officers were able to elect to be issued RSUs pursuant to the 2021 Plan in lieu of receiving Incentive Bonuses, subject to availability of reserved shares under the 2021 Plan. None of our named executive officers elected to receive RSUs in lieu of Incentive Bonuses, which were paid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Discretionary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being eligible to receive Incentive Bonuses, our named executive officers are also eligible to receive discretionary bonuses as determined by the Compensation Committee. Messrs. Schaffner, Shoun and Heagen and Ms. Bowin each received a discretionary bonus in September 2025 related to the successful completion of certain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Cash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each of our named executive officers voluntarily declined to receive any cash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equity awards to our employees, including our named executive officers. We believe that equity awards are necessary to remain competitive in our industry and enhance our ability to attract, retain, and motivate persons who we believe can make important contributions to the growth and success of our business by providing these individuals with equity ownership opportunities. Equity awards are made pursuant to our 2021 Plan, which has been approved by our Board and stockholders. The number and value of equity awards granted to our named executive officers is typically determined by the Compensation Committee based on a number of factors, including the executive’s title, role, level of responsibility, and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Plan provided, among other things, for the issuance of RSUs and stock options to certain employees, including our named executive officers. Specifically, the 2025 Plan authorized the issuance of an aggregate of 8,744 RSUs to our employees, which were fully vested on the date of grant. The 2025 Plan also authorized the issuance of an aggregate of 15,681 stock options to our employees (the “Stock Options”). The issuance of the Stock Options was conditioned upon stockholder approval of an increase in the number of shares available for issuance under the 2021 Plan, which we obtained at the 2025 Annual Meeting of Stockholders. The Stock Options were immediately vested upon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in conjunction with the successful completion of a financing transaction, Messrs. Schaffner, Shoun and Heagen, and Ms. Bowin, each received an additional grant of 8,333 RSUs, which were immediately vested upon issuance.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and RSUs granted to our named executive officers during 2025 are summarized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563" w:type="dxa"/>
        <w:jc w:val="left"/>
        <w:tblInd w:w="0" w:type="dxa"/>
        <w:tblLayout w:type="fixed"/>
        <w:tblCellMar>
          <w:top w:w="0" w:type="dxa"/>
          <w:left w:w="0" w:type="dxa"/>
          <w:bottom w:w="28" w:type="dxa"/>
          <w:right w:w="0" w:type="dxa"/>
        </w:tblCellMar>
      </w:tblPr>
      <w:tblGrid>
        <w:gridCol w:w="2165"/>
        <w:gridCol w:w="60"/>
        <w:gridCol w:w="228"/>
        <w:gridCol w:w="1855"/>
        <w:gridCol w:w="231"/>
        <w:gridCol w:w="60"/>
        <w:gridCol w:w="93"/>
        <w:gridCol w:w="754"/>
        <w:gridCol w:w="117"/>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Named Executive Officer</w:t>
            </w:r>
          </w:p>
        </w:tc>
        <w:tc>
          <w:tcPr>
            <w:tcW w:w="60" w:type="dxa"/>
            <w:tcBorders/>
            <w:tcMar>
              <w:bottom w:w="0" w:type="dxa"/>
            </w:tcMar>
            <w:vAlign w:val="center"/>
          </w:tcPr>
          <w:p>
            <w:pPr>
              <w:pStyle w:val="TableContents"/>
              <w:bidi w:val="0"/>
              <w:spacing w:before="0" w:after="283"/>
              <w:jc w:val="left"/>
              <w:rPr/>
            </w:pPr>
            <w:r>
              <w:rPr/>
              <w:t> </w:t>
            </w:r>
          </w:p>
        </w:tc>
        <w:tc>
          <w:tcPr>
            <w:tcW w:w="2314"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Stock Option Awards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RSU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Paul Shoun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3,856</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9,583</w:t>
            </w:r>
          </w:p>
        </w:tc>
        <w:tc>
          <w:tcPr>
            <w:tcW w:w="117"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Schaffner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8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3,626</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9,583</w:t>
            </w:r>
          </w:p>
        </w:tc>
        <w:tc>
          <w:tcPr>
            <w:tcW w:w="117"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Shawna Bowin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8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2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8,697</w:t>
            </w:r>
          </w:p>
        </w:tc>
        <w:tc>
          <w:tcPr>
            <w:tcW w:w="117"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Carson Heagen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8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2,747</w:t>
            </w:r>
          </w:p>
        </w:tc>
        <w:tc>
          <w:tcPr>
            <w:tcW w:w="2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9,583</w:t>
            </w:r>
          </w:p>
        </w:tc>
        <w:tc>
          <w:tcPr>
            <w:tcW w:w="11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grant-date fair value of the stock options and RSUs granted to our named executive officers during 2025 is set forth in the “Summary Compensation Table” above. Mr. Hammer was appointed Chief Executive Officer and Chairman of the Board in October 2025 and was not issued any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Elements of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Retirement Plans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401(k) retirement savings plan for our employees, including our named executive officers, who satisfy certain eligibility requirements. Substantially all employees are eligible to participate. We have the option to make profit-sharing contributions under our 401(k) plan at our discretion. No profit-sharing contributions have been made. The Internal Revenue Code of 1986, as amended (the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Health/Welfare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full-time employees, including our named executive officers, are eligible to participate in our health and welfare plans, which include medical and vision benefits. Our named executive officers are eligible to participate in our employee health and welfare plans on the same basis as all of our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Gross 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made tax gross-up payments to cover a portion of the personal income taxes incurred on the value of RSUs awarded to employees who met certain criteria. In 2024, we did not make any tax gross-up payments on any compensation paid or awards issued to any of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terms of the Bowin Employment Agreement (as defined below), Ms. Bowin was entitled to reimbursement of tuition and reasonable associated fees and costs, as well as personal income taxes incurred related to such reimbursements. Except as disclosed herein, none of our named executive officers received any perquisites during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027"/>
      <w:bookmarkEnd w:id="15"/>
      <w:r>
        <w:rPr>
          <w:rFonts w:ascii="Times New Roman;Times;Serif" w:hAnsi="Times New Roman;Times;Serif"/>
          <w:b/>
          <w:i w:val="false"/>
          <w:caps w:val="false"/>
          <w:smallCaps w:val="false"/>
          <w:sz w:val="20"/>
        </w:rPr>
        <w:t xml:space="preserve">Outstanding Equity Awards at Fiscal Year-End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of shares of common stock underlying outstanding stock options for each of our named executive officers as of December 31, 2025 and reflects the impact of the Reverse Stock Split. There were no unvested RSUs outstanding and held by our named executive officers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4"/>
        <w:gridCol w:w="60"/>
        <w:gridCol w:w="64"/>
        <w:gridCol w:w="722"/>
        <w:gridCol w:w="60"/>
        <w:gridCol w:w="60"/>
        <w:gridCol w:w="219"/>
        <w:gridCol w:w="2054"/>
        <w:gridCol w:w="218"/>
        <w:gridCol w:w="60"/>
        <w:gridCol w:w="451"/>
        <w:gridCol w:w="1962"/>
        <w:gridCol w:w="218"/>
        <w:gridCol w:w="60"/>
        <w:gridCol w:w="78"/>
        <w:gridCol w:w="1123"/>
        <w:gridCol w:w="60"/>
        <w:gridCol w:w="60"/>
        <w:gridCol w:w="176"/>
        <w:gridCol w:w="1304"/>
        <w:gridCol w:w="82"/>
      </w:tblGrid>
      <w:tr>
        <w:trPr/>
        <w:tc>
          <w:tcPr>
            <w:tcW w:w="1114"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Securities Underlying Unexercised Options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Exercisable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2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3"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Securities Underlying Unexercised Options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Unexercisable</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21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Option Exercise Price</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0" w:type="dxa"/>
            <w:gridSpan w:val="2"/>
            <w:tcBorders>
              <w:bottom w:val="single" w:sz="8" w:space="0" w:color="000000"/>
            </w:tcBorders>
            <w:vAlign w:val="center"/>
          </w:tcPr>
          <w:p>
            <w:pPr>
              <w:pStyle w:val="TableContents"/>
              <w:bidi w:val="0"/>
              <w:spacing w:before="0" w:after="283"/>
              <w:jc w:val="center"/>
              <w:rPr>
                <w:b/>
              </w:rPr>
            </w:pPr>
            <w:r>
              <w:rPr>
                <w:b/>
              </w:rPr>
              <w:t>Option Expiration Date</w:t>
            </w:r>
          </w:p>
        </w:tc>
        <w:tc>
          <w:tcPr>
            <w:tcW w:w="82" w:type="dxa"/>
            <w:tcBorders/>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Hammer</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6"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3"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3"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1"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80"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Brian Schaffner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24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w:t>
            </w:r>
          </w:p>
        </w:tc>
        <w:tc>
          <w:tcPr>
            <w:tcW w:w="2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4,032.00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pPr>
            <w:r>
              <w:rPr/>
              <w:t>100</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4,032.00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34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7</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5,904.00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3,626</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Paul Shoun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24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w:t>
            </w:r>
          </w:p>
        </w:tc>
        <w:tc>
          <w:tcPr>
            <w:tcW w:w="2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4,032.00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pPr>
            <w:r>
              <w:rPr/>
              <w:t>141</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4,032.00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34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7</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5,904.00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3,856</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Shawna Bowin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3</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(5)</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1</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4,140.00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3/11/2034</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401</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Carson Heagen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24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w:t>
            </w:r>
          </w:p>
        </w:tc>
        <w:tc>
          <w:tcPr>
            <w:tcW w:w="21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4,032.00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2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pPr>
            <w:r>
              <w:rPr/>
              <w:t>37</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shd w:fill="CCEEFF" w:val="clear"/>
            <w:tcMar>
              <w:bottom w:w="0" w:type="dxa"/>
            </w:tcMar>
            <w:vAlign w:val="center"/>
          </w:tcPr>
          <w:p>
            <w:pPr>
              <w:pStyle w:val="TableContents"/>
              <w:bidi w:val="0"/>
              <w:spacing w:before="0" w:after="283"/>
              <w:jc w:val="left"/>
              <w:rPr/>
            </w:pPr>
            <w:r>
              <w:rPr/>
              <w:t> </w:t>
            </w:r>
          </w:p>
        </w:tc>
        <w:tc>
          <w:tcPr>
            <w:tcW w:w="1962"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pPr>
            <w:r>
              <w:rPr/>
              <w:t>4,032.00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5/2/2032</w:t>
            </w:r>
          </w:p>
        </w:tc>
        <w:tc>
          <w:tcPr>
            <w:tcW w:w="82" w:type="dxa"/>
            <w:tcBorders/>
            <w:shd w:fill="CCEEFF" w:val="clear"/>
            <w:tcMar>
              <w:bottom w:w="0" w:type="dxa"/>
            </w:tcMar>
            <w:vAlign w:val="center"/>
          </w:tcPr>
          <w:p>
            <w:pPr>
              <w:pStyle w:val="TableContents"/>
              <w:bidi w:val="0"/>
              <w:spacing w:before="0" w:after="283"/>
              <w:jc w:val="left"/>
              <w:rPr/>
            </w:pPr>
            <w:r>
              <w:rPr/>
              <w:t> </w:t>
            </w:r>
          </w:p>
        </w:tc>
      </w:tr>
      <w:tr>
        <w:trPr/>
        <w:tc>
          <w:tcPr>
            <w:tcW w:w="111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2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 w:type="dxa"/>
            <w:tcBorders/>
            <w:shd w:fill="FFFFFF" w:val="clear"/>
            <w:tcMar>
              <w:bottom w:w="0" w:type="dxa"/>
            </w:tcMar>
            <w:vAlign w:val="center"/>
          </w:tcPr>
          <w:p>
            <w:pPr>
              <w:pStyle w:val="TableContents"/>
              <w:bidi w:val="0"/>
              <w:spacing w:before="0" w:after="283"/>
              <w:jc w:val="left"/>
              <w:rPr/>
            </w:pPr>
            <w:r>
              <w:rPr/>
              <w:t> </w:t>
            </w:r>
          </w:p>
        </w:tc>
        <w:tc>
          <w:tcPr>
            <w:tcW w:w="2054" w:type="dxa"/>
            <w:tcBorders/>
            <w:shd w:fill="FFFFFF" w:val="clear"/>
            <w:tcMar>
              <w:bottom w:w="0" w:type="dxa"/>
            </w:tcMar>
            <w:vAlign w:val="center"/>
          </w:tcPr>
          <w:p>
            <w:pPr>
              <w:pStyle w:val="TableContents"/>
              <w:bidi w:val="0"/>
              <w:spacing w:before="0" w:after="283"/>
              <w:jc w:val="right"/>
              <w:rPr/>
            </w:pPr>
            <w:r>
              <w:rPr/>
              <w:t>16</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1" w:type="dxa"/>
            <w:tcBorders/>
            <w:shd w:fill="FFFFFF" w:val="clear"/>
            <w:tcMar>
              <w:bottom w:w="0" w:type="dxa"/>
            </w:tcMar>
            <w:vAlign w:val="center"/>
          </w:tcPr>
          <w:p>
            <w:pPr>
              <w:pStyle w:val="TableContents"/>
              <w:bidi w:val="0"/>
              <w:spacing w:before="0" w:after="283"/>
              <w:jc w:val="left"/>
              <w:rPr/>
            </w:pPr>
            <w:r>
              <w:rPr/>
              <w:t> </w:t>
            </w:r>
          </w:p>
        </w:tc>
        <w:tc>
          <w:tcPr>
            <w:tcW w:w="1962" w:type="dxa"/>
            <w:tcBorders/>
            <w:shd w:fill="FFFFFF" w:val="clear"/>
            <w:tcMar>
              <w:bottom w:w="0" w:type="dxa"/>
            </w:tcMar>
            <w:vAlign w:val="center"/>
          </w:tcPr>
          <w:p>
            <w:pPr>
              <w:pStyle w:val="TableContents"/>
              <w:bidi w:val="0"/>
              <w:spacing w:before="0" w:after="283"/>
              <w:jc w:val="right"/>
              <w:rPr/>
            </w:pPr>
            <w:r>
              <w:rPr/>
              <w:t>4</w:t>
            </w:r>
          </w:p>
        </w:tc>
        <w:tc>
          <w:tcPr>
            <w:tcW w:w="218" w:type="dxa"/>
            <w:tcBorders/>
            <w:shd w:fill="FFFFFF" w:val="clear"/>
            <w:tcMar>
              <w:bottom w:w="0" w:type="dxa"/>
            </w:tcMar>
            <w:vAlign w:val="center"/>
          </w:tcPr>
          <w:p>
            <w:pPr>
              <w:pStyle w:val="TableContents"/>
              <w:bidi w:val="0"/>
              <w:spacing w:before="0" w:after="283"/>
              <w:jc w:val="left"/>
              <w:rPr/>
            </w:pPr>
            <w:r>
              <w:rPr>
                <w:position w:val="8"/>
                <w:sz w:val="19"/>
              </w:rPr>
              <w:t>(4)</w:t>
            </w: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5,904.00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13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8/23/2033</w:t>
            </w:r>
          </w:p>
        </w:tc>
        <w:tc>
          <w:tcPr>
            <w:tcW w:w="82" w:type="dxa"/>
            <w:tcBorders/>
            <w:shd w:fill="FFFFFF" w:val="clear"/>
            <w:tcMar>
              <w:bottom w:w="0" w:type="dxa"/>
            </w:tcMar>
            <w:vAlign w:val="center"/>
          </w:tcPr>
          <w:p>
            <w:pPr>
              <w:pStyle w:val="TableContents"/>
              <w:bidi w:val="0"/>
              <w:spacing w:before="0" w:after="283"/>
              <w:jc w:val="left"/>
              <w:rPr/>
            </w:pPr>
            <w:r>
              <w:rPr/>
              <w:t> </w:t>
            </w:r>
          </w:p>
        </w:tc>
      </w:tr>
      <w:tr>
        <w:trPr/>
        <w:tc>
          <w:tcPr>
            <w:tcW w:w="111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CCEEFF" w:val="clear"/>
            <w:vAlign w:val="center"/>
          </w:tcPr>
          <w:p>
            <w:pPr>
              <w:pStyle w:val="TableContents"/>
              <w:bidi w:val="0"/>
              <w:spacing w:before="0" w:after="283"/>
              <w:jc w:val="left"/>
              <w:rPr/>
            </w:pPr>
            <w:r>
              <w:rPr/>
              <w:t> </w:t>
            </w:r>
          </w:p>
        </w:tc>
        <w:tc>
          <w:tcPr>
            <w:tcW w:w="72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vAlign w:val="center"/>
          </w:tcPr>
          <w:p>
            <w:pPr>
              <w:pStyle w:val="TableContents"/>
              <w:bidi w:val="0"/>
              <w:spacing w:before="0" w:after="283"/>
              <w:jc w:val="left"/>
              <w:rPr/>
            </w:pPr>
            <w:r>
              <w:rPr/>
              <w:t> </w:t>
            </w:r>
          </w:p>
        </w:tc>
        <w:tc>
          <w:tcPr>
            <w:tcW w:w="2054" w:type="dxa"/>
            <w:tcBorders>
              <w:bottom w:val="single" w:sz="8" w:space="0" w:color="000000"/>
            </w:tcBorders>
            <w:shd w:fill="CCEEFF" w:val="clear"/>
            <w:vAlign w:val="center"/>
          </w:tcPr>
          <w:p>
            <w:pPr>
              <w:pStyle w:val="TableContents"/>
              <w:bidi w:val="0"/>
              <w:spacing w:before="0" w:after="283"/>
              <w:jc w:val="right"/>
              <w:rPr/>
            </w:pPr>
            <w:r>
              <w:rPr/>
              <w:t>2,747</w:t>
            </w:r>
          </w:p>
        </w:tc>
        <w:tc>
          <w:tcPr>
            <w:tcW w:w="218" w:type="dxa"/>
            <w:tcBorders/>
            <w:shd w:fill="CCEEFF" w:val="clear"/>
            <w:tcMar>
              <w:bottom w:w="0" w:type="dxa"/>
            </w:tcMar>
            <w:vAlign w:val="center"/>
          </w:tcPr>
          <w:p>
            <w:pPr>
              <w:pStyle w:val="TableContents"/>
              <w:bidi w:val="0"/>
              <w:spacing w:before="0" w:after="283"/>
              <w:jc w:val="left"/>
              <w:rPr/>
            </w:pPr>
            <w:r>
              <w:rPr>
                <w:position w:val="8"/>
                <w:sz w:val="19"/>
              </w:rPr>
              <w:t>(3)</w:t>
            </w: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1" w:type="dxa"/>
            <w:tcBorders>
              <w:bottom w:val="single" w:sz="8" w:space="0" w:color="000000"/>
            </w:tcBorders>
            <w:shd w:fill="CCEEFF" w:val="clear"/>
            <w:vAlign w:val="center"/>
          </w:tcPr>
          <w:p>
            <w:pPr>
              <w:pStyle w:val="TableContents"/>
              <w:bidi w:val="0"/>
              <w:spacing w:before="0" w:after="283"/>
              <w:jc w:val="left"/>
              <w:rPr/>
            </w:pPr>
            <w:r>
              <w:rPr/>
              <w:t> </w:t>
            </w:r>
          </w:p>
        </w:tc>
        <w:tc>
          <w:tcPr>
            <w:tcW w:w="1962" w:type="dxa"/>
            <w:tcBorders>
              <w:bottom w:val="single" w:sz="8" w:space="0" w:color="000000"/>
            </w:tcBorders>
            <w:shd w:fill="CCEEFF" w:val="cle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8" w:space="0" w:color="000000"/>
            </w:tcBorders>
            <w:shd w:fill="CCEEFF" w:val="clear"/>
            <w:vAlign w:val="center"/>
          </w:tcPr>
          <w:p>
            <w:pPr>
              <w:pStyle w:val="TableContents"/>
              <w:bidi w:val="0"/>
              <w:spacing w:before="0" w:after="283"/>
              <w:jc w:val="left"/>
              <w:rPr/>
            </w:pPr>
            <w:r>
              <w:rPr/>
              <w:t> </w:t>
            </w:r>
          </w:p>
        </w:tc>
        <w:tc>
          <w:tcPr>
            <w:tcW w:w="1123" w:type="dxa"/>
            <w:tcBorders>
              <w:bottom w:val="single" w:sz="8" w:space="0" w:color="000000"/>
            </w:tcBorders>
            <w:shd w:fill="CCEEFF" w:val="clear"/>
            <w:vAlign w:val="center"/>
          </w:tcPr>
          <w:p>
            <w:pPr>
              <w:pStyle w:val="TableContents"/>
              <w:bidi w:val="0"/>
              <w:spacing w:before="0" w:after="283"/>
              <w:jc w:val="right"/>
              <w:rPr/>
            </w:pPr>
            <w:r>
              <w:rPr/>
              <w:t>9.228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bottom w:val="single" w:sz="8" w:space="0" w:color="000000"/>
            </w:tcBorders>
            <w:shd w:fill="CCEEFF" w:val="clear"/>
            <w:vAlign w:val="center"/>
          </w:tcPr>
          <w:p>
            <w:pPr>
              <w:pStyle w:val="TableContents"/>
              <w:bidi w:val="0"/>
              <w:spacing w:before="0" w:after="283"/>
              <w:jc w:val="left"/>
              <w:rPr/>
            </w:pPr>
            <w:r>
              <w:rPr/>
              <w:t> </w:t>
            </w:r>
          </w:p>
        </w:tc>
        <w:tc>
          <w:tcPr>
            <w:tcW w:w="130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7/31/2035</w:t>
            </w:r>
          </w:p>
        </w:tc>
        <w:tc>
          <w:tcPr>
            <w:tcW w:w="8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stock options were granted pursuant to the 2021 Plan.</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Hammer was appointed Chief Executive Officer and Chairman of the Board in October 2025 and was not issued any equity awards. </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each of these stock options were vested and exercisable immediately upon the grant date.</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stock options vested in 12 equal quarterly installments commencing on September 30, 2023 such that they were fully vested on June 30, 2026.</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50% of these stock options were vested and exercisable immediately upon the grant date, and the remaining 50% vested in 12 equal quarterly installments commencing on June 30, 2024, such that they will be fully vested on March 31, 2027. </w:t>
            </w:r>
          </w:p>
        </w:tc>
      </w:tr>
    </w:tbl>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 Arrangements</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Hammer Employment Agreement</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16, 2025, Mr. Hammer entered into an employment agreement with the Company in connection with his appointment as Chief Executive Officer and Chairman of the Board (the “Hammer Employment Agreement”). Pursuant to the terms of the Hammer Employment Agreement, Mr. Hammer was an at-will employee after an initial employment term of six months. Mr. Hammer was entitled to an initial annual base salary of $330,000. Mr. Hammer was eligible for an annual cash incentive bonus and equity awards to be granted by our Board or Compensation Committee at its discretion. In addition, Mr. Hammer was entitled to participate in any retirement, paid time off, and health and welfare benefit plans, practices, policies, and arrangements the Company may offer. Mr. Hammer was also entitled to reimbursement for reasonable business and travel expenses incurred in connection with the performance of his duties, including reimbursement of office expenses not to exceed $3,000 per month. Consistent with our standard non-employee director compensation policy, Mr. Hammer was not eligible to receive compensation for his role on our Board (including as Chairman of the Board) since he was an executive officer.</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6, 2026, Mr. Hammer voluntarily reduced his annual base salary from $330,000 to $264,000. The Hammer Employment Agreement was not formally amended in connection with the salary reduction.</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Hammer Resignation and Separation Agreement</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Mr. Hammer resigned as Chief Executive Officer. On the same date, Mr. Hammer and the Company entered into a separation agreement (the “Hammer Separation Agreement”) pursuant to which Mr. Hammer received a lump sum payment of $50,000 and director and officer liability insurance coverage for at least four years following his separation. Under the Hammer Separation Agreement, the Company released Mr. Hammer from claims arising from his service to the Company.</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Mr. Hammer resigned as Chairman of the Board.</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Schaffner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26, 2023, Mr. Schaffner entered into an amended and restated employment agreement with the Company in connection with his appointment as Chief Executive Officer (the “Schaffner Employment Agreement”). Pursuant to the terms of the Schaffner Employment Agreement, Mr. Schaffner had an initial employment term of one year, which was subject to automatic extension for additional one-year periods unless terminated by the Company or Mr. Schaffner. Mr. Schaffner was initially entitled to a base salary of $270,400 per year. Mr. Schaffner was eligible for an annual cash incentive bonus and equity awards to be granted by our Board or Compensation Committee at its discretion. In addition, Mr. Schaffner was entitled to participate in any retirement, paid time off, and health and welfare benefit plans, practices, policies and arrangements the Company offered. Mr. Schaffner was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the Schaffner Employment Agreement by the Company without Cause or a resignation for Good Reason (each as defined in the Schaffner Employment Agreement), Mr. Schaffner was entitled to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Schaffner Resignation and Severance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in connection with the closing of a financing transaction, Mr. Schaffner resigned as Chief Executive Officer and agreed to provide consulting services to the Company to assist in the orderly transition of his roles and responsibilities.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Mr. Schaffner and the Company entered into a severance agreement, consulting agreement, and general release (the “Schaffner Severance Agreement”), pursuant to which Mr. Schaffner (a) agreed to provide consulting services through January 31, 2026, subject to extension upon mutual agreement, (b) received a lump sum severance payment equal to 24 months of his base salary then in effect, and (c) received a grant of 8,333 RSUs, which were vested in full upon issuance. The Schaffner Severance Agreement also provided for the termination of the Schaffner Employment Agreement and no additional payments or benefits were paid under the Schaffner Employment Agreement. The consulting services were terminated on January 31,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resignation, Mr. Schaffner continued serving as a member of our Board through August 26, 2026, and became eligible to receive compensation consistent with the terms of our standard non-employee director compensation policy commencing on February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Shoun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26, 2023, Mr. Shoun entered into an amended and restated employment agreement with the Company in connection with his appointment as President and Chief Operating Officer (the “Shoun Employment Agreement”). Pursuant to the terms of the Shoun Employment Agreement, Mr. Shoun had an initial employment term of one year, which was subject to automatic extension for additional one-year periods unless terminated by the Company or Mr. Shoun. Mr. Shoun was initially entitled to a base salary of $270,400 per year. Mr. Shoun was eligible for an annual cash incentive bonus and equity awards to be granted by our Board or Compensation Committee at its discretion. In addition, Mr. Shoun was entitled to participate in any retirement, paid time off, and health and welfare benefit plans, practices, policies, and arrangements the Company offered. Mr. Shoun was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termination of the Shoun Employment Agreement by the Company without Cause or a resignation for Good Reason (each as defined in the Shoun Employment Agreement), Mr. Shoun was entitled to be paid (a) his continued base salary for one year, (b) an amount equal to his annual target bonus for the year of termination, (c) any earned but unpaid bonuses, and (d) continued medical and dental benefits for up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Shoun Resignation and Severance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in connection with the closing of a financing transaction, Mr. Shoun resigned as President and Chairman of the Board. Mr. Shoun had previously resigned as Chief Operating Officer in April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Mr. Shoun and the Company entered into a severance agreement and general release (the “Shoun Severance Agreement”), pursuant to which Mr. Shoun received (a) a lump sum severance payment equal to 24 months of his base salary then in effect, and (b) a grant of 8,333 RSUs, which were vested in full upon issuance. The Shoun Severance Agreement also provided for the termination of the Shoun Employment Agreement and no additional payments or benefits were paid under the Shoun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Heagen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2025, Mr. Heagen entered into an employment agreement with the Company in connection with his appointment as Chief Operating Officer (the “Heagen Employment Agreement”). Pursuant to the terms of the Heagen Employment Agreement, Mr. Heagen had an initial employment term of one year, which was subject to automatic extension for additional one-year periods unless terminated by the Company or Mr. Heagen. Mr. Heagen was initially entitled to a base salary of $180,000. Mr. Heagen was eligible for an annual cash incentive bonus and equity awards to be granted by our Board or Compensation Committee at its discretion. In addition, Mr. Heagen was entitled to participate in any retirement, paid time off, and health and welfare benefit plans, practices, policies, and arrangements the Company may offer. Mr. Heagen was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1, 2026, Mr. Heagen resigned as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Bowin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3, 2025, Ms. Bowin entered into an amended and restated employment agreement with the Company in connection with her appointment as Chief Financial Officer (the “Bowin Employment Agreement”). Pursuant to the terms of the Bowin Employment Agreement, Ms. Bowin had an initial employment term of one year, which was subject to automatic extension for additional one-year periods unless terminated by the Company or Ms. Bowin. Ms. Bowin was initially entitled to a base salary of $192,000. Ms. Bowin was eligible for an annual cash incentive bonus and equity awards to be granted by our Board or Compensation Committee at its discretion. In addition, Ms. Bowin was entitled to participate in any retirement, paid time off, and health and welfare benefit plans, practices, policies, and arrangements the Company may offer. Ms. Bowin was also entitled to reimbursement for reasonable business and travel expenses incurred in connection with the performance of her duties, and reimbursement of tuition and reasonable associated fees and costs, as well as personal income taxes incurred related to such reimbursements.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Ms. Bowin provided notice of her resignation as Chief Financial Officer. Ms. Bowin is assisting with the orderly transition of her roles and responsibilities through approximately October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Executive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24, 2026, Mr. Sellers entered into an employment agreement with us in connection with his appointment as President and Chief Executive Officer (the “Sellers Employment Agreement”). Pursuant to the terms of the Sellers Employment Agreement, Mr. Sellers is an at-will employee and entitled to an initial base salary of $285,000, which will automatically increase to $315,000 upon the timely submission of our Annual Report on Form 10-K for the year ending December 31, 2026 (the “2026 Annual Report”), and will further increase to $400,000 upon a wellbore within the AMI achieving a specified minimum production test rate. For additional information regarding the AMI, see the section of this proxy entitled “Related-Person Transactions—Cynergy Exploration Agreement and ORRI” and “—Cynergy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Sellers is eligible for an annual cash incentive bonus with a target amount equal to 75% of his base salary, to be paid based on performance objectives established annually by our Board or the Compensation Committee. The Sellers Employment Agreement also provides that, upon any Sale Transaction (as defined in the Sellers Employment Agreement), Mr. Sellers will be entitled to a cash transaction bonus calculated based on the value of the cash consideration actually received by the Company in the Sale Transaction (the “Company Transaction Bonus”), with the bonus amount calculated based on a tiered approach with payments ranging from 5% to 2% of the Sale Transaction as the value increases. Mr. Sellers will remain eligible for the Company Transaction Bonus if his employment is terminated by the Company without Cause or he resigns for Good Reason (each as defined in the Sellers Employment Agreement) within 12 months prior to the closing of a Sale Transaction, subject to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Sellers is entitled to participate in any retirement, paid time off, and health and welfare benefit plans, practices, policies and arrangements the Company may offer. Mr. Sellers is also entitled to reimbursement for reasonable expenses incurred in connection with the performance of his duties not to exceed $2,500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Sellers’ employment is terminated by the Company without Cause or he resigns for Good Reason, he will be entitled to receive (i) 12 months of continued base salary, (ii) any annual incentive bonus earned but unpaid, (iii) any Company Transaction Bonus earned, but unpaid, and any Company Transaction Bonus on any Sale Transaction that occurs within the 12 months following the date of termination, subject to certain conditions, and (iv) continued medical and dental coverage under COBRA for up to 12 months, in each case subject to his execution of a release of claims in favor of the Company and his continued compliance with certain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Winspear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25, 2026, Mr. Winspear entered into an employment agreement with the Company in connection with his appointment as Chief Financial Officer (the “Winspear Employment Agreement”). Pursuant to the terms of the Winspear Employment Agreement, Mr. Winspear has an initial one-year employment term, which renews annually for subsequent one-year terms. Mr. Winspear is entitled to an annual base salary of $285,000, which will automatically increase to $300,000 upon the timely submission of our 2026 Annual Report. Mr. Winspear is eligible for an annual cash incentive bonus based on performance objectives established annually by our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Winspear is entitled to participate in any retirement, paid time off, and health and welfare benefit plans, practices, policies and arrangements the Company may offer. Mr. Winspear is also entitled to reimbursement for reasonable business and travel expenses incurred in connection with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Winspear’s employment is terminated by the Company without Cause or he resigns for Good Reason (in each case as defined in the Winspear Employment Agreement), he will be entitled to receive (i) 12 months of continued base salary, (ii) any annual cash incentive bonus earned but unpaid, (iii) an amount equal to the target cash incentive bonus for the year of termination, and (iv) continued medical and dental coverage under COBRA for up to 12 months, in each case subject to his execution of a release of claims in favor of the Company and his continued compliance with the restrictive covenants described in the Winspear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xdx_98E_eecd--AwardTmgMnpiDiscTextBlock_"/>
      <w:bookmarkEnd w:id="16"/>
      <w:r>
        <w:rPr>
          <w:rFonts w:ascii="Times New Roman;Times;Serif" w:hAnsi="Times New Roman;Times;Serif"/>
          <w:b/>
          <w:i w:val="false"/>
          <w:caps w:val="false"/>
          <w:smallCaps w:val="false"/>
          <w:sz w:val="20"/>
        </w:rPr>
        <w:t>Policies and Practices Related to the Grant of Certain Equity Awards</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 w:name="xdx_90E_eecd--AwardTmgMethodTextBlock_c2"/>
      <w:bookmarkEnd w:id="17"/>
      <w:r>
        <w:rPr>
          <w:rFonts w:ascii="Times New Roman;Times;Serif" w:hAnsi="Times New Roman;Times;Serif"/>
          <w:b w:val="false"/>
          <w:i w:val="false"/>
          <w:caps w:val="false"/>
          <w:smallCaps w:val="false"/>
          <w:sz w:val="20"/>
        </w:rPr>
        <w:t xml:space="preserve">Historically, </w:t>
      </w:r>
      <w:bookmarkStart w:id="18" w:name="xdx_90F_eecd--AwardTmgPredtrmndFlag_dbT_"/>
      <w:bookmarkEnd w:id="18"/>
      <w:r>
        <w:rPr>
          <w:rFonts w:ascii="Times New Roman;Times;Serif" w:hAnsi="Times New Roman;Times;Serif"/>
          <w:b w:val="false"/>
          <w:i w:val="false"/>
          <w:caps w:val="false"/>
          <w:smallCaps w:val="false"/>
          <w:sz w:val="20"/>
        </w:rPr>
        <w:t>we have granted stock options and RSUs to our employees, executive officers, and non-employee directors pursuant to the terms of the 2021 Plan. We do not have any formal policy that requires us to grant, or avoid granting, stock options or RSUs on particular dates. The grant of equity awards pursuant to the 2021 Plan is discretionary and such awards are periodically granted to our named executive officers upon approval of the Compensation Committee.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 w:name="xdx_90A_eecd--AwardTmgHowMnpiCnsdrdTextB"/>
      <w:bookmarkEnd w:id="19"/>
      <w:r>
        <w:rPr>
          <w:rFonts w:ascii="Times New Roman;Times;Serif" w:hAnsi="Times New Roman;Times;Serif"/>
          <w:b w:val="false"/>
          <w:i w:val="false"/>
          <w:caps w:val="false"/>
          <w:smallCaps w:val="false"/>
          <w:sz w:val="20"/>
        </w:rPr>
        <w:t xml:space="preserve">We </w:t>
      </w:r>
      <w:bookmarkStart w:id="20" w:name="xdx_902_eecd--AwardTmgMnpiCnsdrdFlag_dbF"/>
      <w:bookmarkEnd w:id="20"/>
      <w:r>
        <w:rPr>
          <w:rFonts w:ascii="Times New Roman;Times;Serif" w:hAnsi="Times New Roman;Times;Serif"/>
          <w:b w:val="false"/>
          <w:i w:val="false"/>
          <w:caps w:val="false"/>
          <w:smallCaps w:val="false"/>
          <w:sz w:val="20"/>
        </w:rPr>
        <w:t xml:space="preserve">do not schedule the grant of equity awards in anticipation of the release of material nonpublic information (“MNPI”), nor do </w:t>
      </w:r>
      <w:bookmarkStart w:id="21" w:name="xdx_90D_eecd--MnpiDiscTimedForCompValFla"/>
      <w:bookmarkEnd w:id="21"/>
      <w:r>
        <w:rPr>
          <w:rFonts w:ascii="Times New Roman;Times;Serif" w:hAnsi="Times New Roman;Times;Serif"/>
          <w:b w:val="false"/>
          <w:i w:val="false"/>
          <w:caps w:val="false"/>
          <w:smallCaps w:val="false"/>
          <w:sz w:val="20"/>
        </w:rPr>
        <w:t>we time the release of MNPI based on actual or anticipated equity grant dates. Furthermore, we do not time the disclosure of MNPI for the purpose of affecting the value of executive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did not take MNPI into account when determining the timing and terms of equity awards granted in 2025. During 2025, no grants were made to any of our named executive officers in the period beginning four business days before (a) the filing of a Quarterly Report on Form 10-Q or Annual Report on Form 10-K, or (b) the filing or furnishing of a Form 8-K that discloses MNPI, and ending one business day after the filing or furnishing of any such report.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Times;Serif" w:hAnsi="Times New Roman;Times;Serif"/>
          <w:b/>
          <w:i w:val="false"/>
          <w:caps w:val="false"/>
          <w:smallCaps w:val="false"/>
          <w:sz w:val="20"/>
        </w:rPr>
      </w:pPr>
      <w:bookmarkStart w:id="22" w:name="a028"/>
      <w:bookmarkEnd w:id="22"/>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Director Compensation Program</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prior Non-Employee Director Compensation program, which was applicable for 2025, each non-employee director was initially entitled to receive an annual director fee of $50,000 paid in cash for service on our Board. In addition, if the director served as the chairperson of a committee of our Board, the director received additional annual fees paid in cash as follows:</w:t>
      </w:r>
    </w:p>
    <w:p>
      <w:pPr>
        <w:pStyle w:val="TextBody"/>
        <w:bidi w:val="0"/>
        <w:spacing w:before="0" w:after="0"/>
        <w:ind w:left="0" w:right="0" w:hanging="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Audit Committee, $20,000;</w:t>
            </w:r>
          </w:p>
        </w:tc>
      </w:tr>
    </w:tbl>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Compensation Committee, $15,000; and</w:t>
            </w:r>
          </w:p>
        </w:tc>
      </w:tr>
    </w:tbl>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Nominating and Governance Committee, $10,000.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fees were paid in quarterly installments on the first business day of each calendar quarter and prorated for any portion of a quarter that a director was not serving as a non-employee director or a chairperson of a committee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fees were paid for service as a member of any committee of our Board, or for attendance at Board or committee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were also eligible to be reimbursed for out-of-pocket expenses reasonably incurred by them in connection with service provided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our Board approved grants to each of our non-employee directors consisting of stock options to purchase 416 shares and 416 RSUs under the 2021 Plan. The equity grants were contingent upon stockholder approval of an increase in the number of shares available for issuance under the 2021 Plan. The equity grants were issued in July 2025, and were fully vested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paid $60,000 in cash to each non-employee director in lieu of issuing additional equity awards to the directors in 2025. In addition, in September 2025, we paid an additional $60,000 in cash to each non-employee director in lieu of issuing equity awards for services provided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compensation paid to or earned by our non-employee directors during 2025 is set forth in the 2025 Director Compensation table below. Messrs. Hammer, Schaffner, and Shoun each served on our Board during 2025, but have not been included in the table because they did not receive any additional compensation for their service on our Board. Information regarding the compensation paid to these named executive officers is included in the Summary Compensation Table, the Outstanding Equity Awards at Fiscal Year-End Table, and the associated narrative disclosures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Director Compensation Table</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compensation paid to our non-employee directors during the year ended December 31, 2025 and reflects the impact of the Reverse Stock Split. The amounts set forth in the table have been calculated in accordance with the requirements of applicable SEC rules, and do not necessarily reflect the amounts that have actually been paid to, or which may be realized by, our directors.</w:t>
      </w:r>
    </w:p>
    <w:p>
      <w:pPr>
        <w:pStyle w:val="TextBody"/>
        <w:bidi w:val="0"/>
        <w:spacing w:before="0" w:after="0"/>
        <w:ind w:left="22" w:right="0" w:hanging="11"/>
        <w:jc w:val="both"/>
        <w:rPr>
          <w:caps w:val="false"/>
          <w:smallCaps w:val="false"/>
        </w:rPr>
      </w:pPr>
      <w:r>
        <w:rPr>
          <w:caps w:val="false"/>
          <w:smallCaps w:val="false"/>
        </w:rPr>
        <w:t> </w:t>
      </w:r>
    </w:p>
    <w:tbl>
      <w:tblPr>
        <w:tblW w:w="7102" w:type="dxa"/>
        <w:jc w:val="left"/>
        <w:tblInd w:w="0" w:type="dxa"/>
        <w:tblLayout w:type="fixed"/>
        <w:tblCellMar>
          <w:top w:w="0" w:type="dxa"/>
          <w:left w:w="0" w:type="dxa"/>
          <w:bottom w:w="28" w:type="dxa"/>
          <w:right w:w="0" w:type="dxa"/>
        </w:tblCellMar>
      </w:tblPr>
      <w:tblGrid>
        <w:gridCol w:w="1820"/>
        <w:gridCol w:w="60"/>
        <w:gridCol w:w="171"/>
        <w:gridCol w:w="2293"/>
        <w:gridCol w:w="60"/>
        <w:gridCol w:w="60"/>
        <w:gridCol w:w="68"/>
        <w:gridCol w:w="641"/>
        <w:gridCol w:w="60"/>
        <w:gridCol w:w="60"/>
        <w:gridCol w:w="61"/>
        <w:gridCol w:w="693"/>
        <w:gridCol w:w="60"/>
        <w:gridCol w:w="60"/>
        <w:gridCol w:w="60"/>
        <w:gridCol w:w="800"/>
        <w:gridCol w:w="75"/>
      </w:tblGrid>
      <w:tr>
        <w:trPr/>
        <w:tc>
          <w:tcPr>
            <w:tcW w:w="182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4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Awards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Total </w:t>
              <w:br/>
              <w:t>($)</w:t>
            </w:r>
          </w:p>
        </w:tc>
        <w:tc>
          <w:tcPr>
            <w:tcW w:w="7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22,717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82,717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pPr>
            <w:r>
              <w:rPr/>
              <w:t>George Lefevre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2293" w:type="dxa"/>
            <w:tcBorders/>
            <w:shd w:fill="FFFFFF" w:val="clear"/>
            <w:tcMar>
              <w:bottom w:w="0" w:type="dxa"/>
            </w:tcMar>
            <w:vAlign w:val="center"/>
          </w:tcPr>
          <w:p>
            <w:pPr>
              <w:pStyle w:val="TableContents"/>
              <w:bidi w:val="0"/>
              <w:spacing w:before="0" w:after="283"/>
              <w:jc w:val="right"/>
              <w:rPr/>
            </w:pPr>
            <w:r>
              <w:rPr/>
              <w:t>180,000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t>4,665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5,850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190,515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Tien Q. Nguyen</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185,000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t>4,665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5,850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195,515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p>
        </w:tc>
        <w:tc>
          <w:tcPr>
            <w:tcW w:w="22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pPr>
            <w:r>
              <w:rPr/>
              <w:t>Steven M. Shum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2293" w:type="dxa"/>
            <w:tcBorders/>
            <w:shd w:fill="CCEEFF" w:val="clear"/>
            <w:tcMar>
              <w:bottom w:w="0" w:type="dxa"/>
            </w:tcMar>
            <w:vAlign w:val="center"/>
          </w:tcPr>
          <w:p>
            <w:pPr>
              <w:pStyle w:val="TableContents"/>
              <w:bidi w:val="0"/>
              <w:spacing w:before="0" w:after="283"/>
              <w:jc w:val="right"/>
              <w:rPr/>
            </w:pPr>
            <w:r>
              <w:rPr/>
              <w:t>190,000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1" w:type="dxa"/>
            <w:tcBorders/>
            <w:shd w:fill="CCEEFF" w:val="clear"/>
            <w:tcMar>
              <w:bottom w:w="0" w:type="dxa"/>
            </w:tcMar>
            <w:vAlign w:val="center"/>
          </w:tcPr>
          <w:p>
            <w:pPr>
              <w:pStyle w:val="TableContents"/>
              <w:bidi w:val="0"/>
              <w:spacing w:before="0" w:after="283"/>
              <w:jc w:val="right"/>
              <w:rPr/>
            </w:pPr>
            <w:r>
              <w:rPr/>
              <w:t>4,665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5,850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200,515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those directors that served throughout 2025, the amounts include $60,000 of fees paid in cash in lieu of issuing additional equity awards to the directors in 2025. For those directors that served during 2024, the amounts include an additional $60,000 of fees paid in cash earned for services rendered during 2024, but which were not paid until 2025. </w:t>
            </w:r>
          </w:p>
        </w:tc>
      </w:tr>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reflect the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the Annual Report, which is incorporated herein by reference.</w:t>
            </w:r>
          </w:p>
        </w:tc>
      </w:tr>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reflect the grant-date fair value of RSUs granted during the applicable year computed in accordance with ASC Topic 718. </w:t>
            </w:r>
          </w:p>
        </w:tc>
      </w:tr>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Burell was appointed a member of our Board in October 2025 and his fees were prorated accordingly.</w:t>
            </w:r>
          </w:p>
        </w:tc>
      </w:tr>
      <w:tr>
        <w:trPr/>
        <w:tc>
          <w:tcPr>
            <w:tcW w:w="265" w:type="dxa"/>
            <w:tcBorders/>
            <w:vAlign w:val="center"/>
          </w:tcPr>
          <w:p>
            <w:pPr>
              <w:pStyle w:val="TableContents"/>
              <w:bidi w:val="0"/>
              <w:spacing w:before="0" w:after="0"/>
              <w:ind w:left="0" w:right="0" w:hanging="0"/>
              <w:jc w:val="left"/>
              <w:rPr/>
            </w:pPr>
            <w:r>
              <w:rPr/>
              <w:t>(5) </w:t>
            </w:r>
          </w:p>
        </w:tc>
        <w:tc>
          <w:tcPr>
            <w:tcW w:w="9940" w:type="dxa"/>
            <w:tcBorders/>
            <w:vAlign w:val="center"/>
          </w:tcPr>
          <w:p>
            <w:pPr>
              <w:pStyle w:val="TableContents"/>
              <w:bidi w:val="0"/>
              <w:spacing w:before="0" w:after="0"/>
              <w:ind w:left="0" w:right="0" w:hanging="0"/>
              <w:jc w:val="both"/>
              <w:rPr/>
            </w:pPr>
            <w:r>
              <w:rPr/>
              <w:t>Effective August 26, 2026, Mr. Nguyen resigned from our Board. </w:t>
            </w:r>
          </w:p>
        </w:tc>
      </w:tr>
      <w:tr>
        <w:trPr/>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Schaffner was paid consulting fees by us from the date of his resignation as Chief Executive Officer until the consulting services ended, and no fees were paid for Board service during that time. Mr. Schaffner became eligible to receive compensation consistent with the terms of our non-employee director compensation policy commencing on February 1, 2026. Effective August 26, 2026, Mr. Schaffner resigned from our Board.</w:t>
            </w:r>
          </w:p>
        </w:tc>
      </w:tr>
    </w:tbl>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11"/>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Awards Held by Directors</w:t>
      </w:r>
    </w:p>
    <w:p>
      <w:pPr>
        <w:pStyle w:val="TextBody"/>
        <w:bidi w:val="0"/>
        <w:spacing w:before="0" w:after="0"/>
        <w:ind w:left="22" w:right="0" w:hanging="11"/>
        <w:jc w:val="both"/>
        <w:rPr>
          <w:caps w:val="false"/>
          <w:smallCaps w:val="false"/>
        </w:rPr>
      </w:pPr>
      <w:r>
        <w:rPr>
          <w:caps w:val="false"/>
          <w:smallCaps w:val="false"/>
        </w:rPr>
        <w:t> </w:t>
      </w:r>
    </w:p>
    <w:p>
      <w:pPr>
        <w:pStyle w:val="TextBody"/>
        <w:bidi w:val="0"/>
        <w:spacing w:before="0" w:after="0"/>
        <w:ind w:left="2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stock options and RSUs held as of December 31, 2025 by each non-employee director who served during the year ended December 31, 2025 and reflects the impact of the Reverse Stock Split.</w:t>
      </w:r>
    </w:p>
    <w:p>
      <w:pPr>
        <w:pStyle w:val="TextBody"/>
        <w:bidi w:val="0"/>
        <w:spacing w:before="0" w:after="0"/>
        <w:ind w:left="22" w:right="0" w:hanging="0"/>
        <w:jc w:val="both"/>
        <w:rPr>
          <w:caps w:val="false"/>
          <w:smallCaps w:val="false"/>
        </w:rPr>
      </w:pPr>
      <w:r>
        <w:rPr>
          <w:caps w:val="false"/>
          <w:smallCaps w:val="false"/>
        </w:rPr>
        <w:t> </w:t>
      </w:r>
    </w:p>
    <w:tbl>
      <w:tblPr>
        <w:tblW w:w="7378" w:type="dxa"/>
        <w:jc w:val="left"/>
        <w:tblInd w:w="0" w:type="dxa"/>
        <w:tblLayout w:type="fixed"/>
        <w:tblCellMar>
          <w:top w:w="0" w:type="dxa"/>
          <w:left w:w="0" w:type="dxa"/>
          <w:bottom w:w="28" w:type="dxa"/>
          <w:right w:w="0" w:type="dxa"/>
        </w:tblCellMar>
      </w:tblPr>
      <w:tblGrid>
        <w:gridCol w:w="1625"/>
        <w:gridCol w:w="60"/>
        <w:gridCol w:w="422"/>
        <w:gridCol w:w="2687"/>
        <w:gridCol w:w="60"/>
        <w:gridCol w:w="60"/>
        <w:gridCol w:w="229"/>
        <w:gridCol w:w="2160"/>
        <w:gridCol w:w="75"/>
      </w:tblGrid>
      <w:tr>
        <w:trPr/>
        <w:tc>
          <w:tcPr>
            <w:tcW w:w="16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31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Stock Options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8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Number of RSUs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Scott Burell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26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2160" w:type="dxa"/>
            <w:tcBorders/>
            <w:shd w:fill="CCEEFF" w:val="clear"/>
            <w:tcMar>
              <w:bottom w:w="0" w:type="dxa"/>
            </w:tcMar>
            <w:vAlign w:val="center"/>
          </w:tcPr>
          <w:p>
            <w:pPr>
              <w:pStyle w:val="TableContents"/>
              <w:bidi w:val="0"/>
              <w:spacing w:before="0" w:after="283"/>
              <w:jc w:val="right"/>
              <w:rPr/>
            </w:pPr>
            <w:r>
              <w:rPr/>
              <w:t>3,333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George Lefevre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2687" w:type="dxa"/>
            <w:tcBorders/>
            <w:shd w:fill="FFFFFF" w:val="clear"/>
            <w:tcMar>
              <w:bottom w:w="0" w:type="dxa"/>
            </w:tcMar>
            <w:vAlign w:val="center"/>
          </w:tcPr>
          <w:p>
            <w:pPr>
              <w:pStyle w:val="TableContents"/>
              <w:bidi w:val="0"/>
              <w:spacing w:before="0" w:after="283"/>
              <w:jc w:val="right"/>
              <w:rPr/>
            </w:pPr>
            <w:r>
              <w:rPr/>
              <w:t>441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2160" w:type="dxa"/>
            <w:tcBorders/>
            <w:shd w:fill="FFFFFF" w:val="clear"/>
            <w:tcMar>
              <w:bottom w:w="0" w:type="dxa"/>
            </w:tcMar>
            <w:vAlign w:val="center"/>
          </w:tcPr>
          <w:p>
            <w:pPr>
              <w:pStyle w:val="TableContents"/>
              <w:bidi w:val="0"/>
              <w:spacing w:before="0" w:after="283"/>
              <w:jc w:val="right"/>
              <w:rPr/>
            </w:pPr>
            <w:r>
              <w:rPr/>
              <w:t>416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Tien Q. Nguyen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2687" w:type="dxa"/>
            <w:tcBorders/>
            <w:shd w:fill="CCEEFF" w:val="clear"/>
            <w:tcMar>
              <w:bottom w:w="0" w:type="dxa"/>
            </w:tcMar>
            <w:vAlign w:val="center"/>
          </w:tcPr>
          <w:p>
            <w:pPr>
              <w:pStyle w:val="TableContents"/>
              <w:bidi w:val="0"/>
              <w:spacing w:before="0" w:after="283"/>
              <w:jc w:val="right"/>
              <w:rPr/>
            </w:pPr>
            <w:r>
              <w:rPr/>
              <w:t>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2160" w:type="dxa"/>
            <w:tcBorders/>
            <w:shd w:fill="CCEEFF" w:val="clear"/>
            <w:tcMar>
              <w:bottom w:w="0" w:type="dxa"/>
            </w:tcMar>
            <w:vAlign w:val="center"/>
          </w:tcPr>
          <w:p>
            <w:pPr>
              <w:pStyle w:val="TableContents"/>
              <w:bidi w:val="0"/>
              <w:spacing w:before="0" w:after="283"/>
              <w:jc w:val="right"/>
              <w:rPr/>
            </w:pPr>
            <w:r>
              <w:rPr/>
              <w:t>416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Steven M. Shum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2687" w:type="dxa"/>
            <w:tcBorders/>
            <w:shd w:fill="FFFFFF" w:val="clear"/>
            <w:tcMar>
              <w:bottom w:w="0" w:type="dxa"/>
            </w:tcMar>
            <w:vAlign w:val="center"/>
          </w:tcPr>
          <w:p>
            <w:pPr>
              <w:pStyle w:val="TableContents"/>
              <w:bidi w:val="0"/>
              <w:spacing w:before="0" w:after="283"/>
              <w:jc w:val="right"/>
              <w:rPr/>
            </w:pPr>
            <w:r>
              <w:rPr/>
              <w:t>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2160" w:type="dxa"/>
            <w:tcBorders/>
            <w:shd w:fill="FFFFFF" w:val="clear"/>
            <w:tcMar>
              <w:bottom w:w="0" w:type="dxa"/>
            </w:tcMar>
            <w:vAlign w:val="center"/>
          </w:tcPr>
          <w:p>
            <w:pPr>
              <w:pStyle w:val="TableContents"/>
              <w:bidi w:val="0"/>
              <w:spacing w:before="0" w:after="283"/>
              <w:jc w:val="right"/>
              <w:rPr/>
            </w:pPr>
            <w:r>
              <w:rPr/>
              <w:t>416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Hammer, Schaffner and Shoun have been excluded from the table since they were each named executive officers for 2025. Information regarding their respective ownership of stock options and RSUs as of December 31, 2025 is set forth in the section titled, “</w:t>
      </w:r>
      <w:r>
        <w:rPr>
          <w:rFonts w:ascii="Times New Roman;Times;Serif" w:hAnsi="Times New Roman;Times;Serif"/>
          <w:b w:val="false"/>
          <w:i/>
          <w:caps w:val="false"/>
          <w:smallCaps w:val="false"/>
          <w:sz w:val="20"/>
        </w:rPr>
        <w:t>Outstanding Equity Awards at Fiscal Year-End</w:t>
      </w:r>
      <w:r>
        <w:rPr>
          <w:rFonts w:ascii="Times New Roman;Times;Serif" w:hAnsi="Times New Roman;Times;Serif"/>
          <w:b w:val="false"/>
          <w:i w:val="false"/>
          <w:caps w:val="false"/>
          <w:smallCaps w:val="false"/>
          <w:sz w:val="20"/>
        </w:rPr>
        <w:t>”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our Board approved a Non-Employee Director Compensation Policy, which was subsequently amended and restated on August 28, 2026, that is applicable to compensation paid to our non-employee directors for 2026 and until such time as it is revised or rescinded by our Board (the “New 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Director Compensation Program, each non-employee director will receive an annual cash retainer of $88,000 for service on our Board. The chairperson of our Board will receive an additional annual cash retainer of $64,000 paid in cash, provided that the chairperson is a non-employee director. In addition, if the non-employee director serves as the chairperson of a committee of our Board, the director receives additional annual fees paid in cash as follows:</w:t>
      </w:r>
    </w:p>
    <w:p>
      <w:pPr>
        <w:pStyle w:val="TextBody"/>
        <w:bidi w:val="0"/>
        <w:spacing w:before="0" w:after="0"/>
        <w:ind w:left="0" w:right="0" w:hanging="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170"/>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Audit Committee, $16,000;</w:t>
            </w:r>
          </w:p>
        </w:tc>
      </w:tr>
    </w:tbl>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Compensation Committee, $12,000; and</w:t>
            </w:r>
          </w:p>
        </w:tc>
      </w:tr>
    </w:tbl>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our Nominating and Governance Committee, $8,000.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retainers described above will be paid by us on a quarterly basis in arrears within five calendar days of the end of the particular calendar quarter, and will be prorated for any portion of the period that a director is not serving as a non-employee director, or as chairperson of our Board or of a committee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fees will be paid for service as a member of any committee of our Board, or for attendance at Board or committee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will also be eligible to be reimbursed for out-of-pocket expenses reasonably incurred by them in connection with service provided to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Non-Employee Director Compensation Policy provides for annual awards of RSUs with a value of $60,000 to be granted on the day of each annual meeting to any non-employee director who serves on our Board as of the date of such annual meeting and will continue to serve as a non-employee director immediately following such meeting, with the number of shares of common stock underlying the RSUs determined based on the average closing price of our Common Stock for the five trading days immediately preceding the date of such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Non-Employee Director Compensation Policy also provides for an initial award of RSUs with a value $60,000 to be granted to a new director upon the date of his or her election or appointment to our Board, with the number of shares of our Common Stock underlying the RSUs determined based on the average closing price of the common stock for the five trading days immediately preceding the date of such election or appointment, provided that to the extent a non-employee director is initially elected on a date that is within three months of the date on which the first annual meeting following such election is held, such non-employee director shall not be entitled to receive the initial award and shall instead be entitled to the annual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a029"/>
      <w:bookmarkEnd w:id="23"/>
      <w:r>
        <w:rPr>
          <w:rFonts w:ascii="Times New Roman;Times;Serif" w:hAnsi="Times New Roman;Times;Serif"/>
          <w:b/>
          <w:i w:val="false"/>
          <w:caps w:val="false"/>
          <w:smallCaps w:val="false"/>
          <w:sz w:val="20"/>
        </w:rPr>
        <w:t>OWNERSHIP OF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030"/>
      <w:bookmarkEnd w:id="24"/>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our initial public offering, we adopted the 2021 Incentive Award Plan (the “2021 Plan”) and our 2021 Employee Stock Purchase Plan (the “2021 ESPP”). The following table summarizes equity compensation plan information for the 2021 Plan and the 2021 ESPP as of December 31, 2025 and reflects the impact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4"/>
        <w:gridCol w:w="60"/>
        <w:gridCol w:w="203"/>
        <w:gridCol w:w="2326"/>
        <w:gridCol w:w="60"/>
        <w:gridCol w:w="60"/>
        <w:gridCol w:w="206"/>
        <w:gridCol w:w="2359"/>
        <w:gridCol w:w="60"/>
        <w:gridCol w:w="60"/>
        <w:gridCol w:w="214"/>
        <w:gridCol w:w="2025"/>
        <w:gridCol w:w="78"/>
      </w:tblGrid>
      <w:tr>
        <w:trPr/>
        <w:tc>
          <w:tcPr>
            <w:tcW w:w="24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to be Issued Upon Exercise of Outstanding Options</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2"/>
            <w:tcBorders/>
            <w:vAlign w:val="center"/>
          </w:tcPr>
          <w:p>
            <w:pPr>
              <w:pStyle w:val="TableContents"/>
              <w:bidi w:val="0"/>
              <w:spacing w:before="0" w:after="283"/>
              <w:jc w:val="center"/>
              <w:rPr>
                <w:b/>
              </w:rPr>
            </w:pPr>
            <w:r>
              <w:rPr>
                <w:b/>
              </w:rPr>
              <w:t>Weighted Average Exercise Price of Outstanding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Remaining Available for Future Issuance</w:t>
            </w:r>
            <w:r>
              <w:rPr>
                <w:rFonts w:ascii="Times New Roman;Times;Serif" w:hAnsi="Times New Roman;Times;Serif"/>
                <w:b/>
                <w:position w:val="7"/>
                <w:sz w:val="16"/>
                <w:sz w:val="20"/>
              </w:rPr>
              <w:t>(2)</w:t>
            </w:r>
          </w:p>
        </w:tc>
        <w:tc>
          <w:tcPr>
            <w:tcW w:w="78" w:type="dxa"/>
            <w:tcBorders/>
            <w:vAlign w:val="center"/>
          </w:tcPr>
          <w:p>
            <w:pPr>
              <w:pStyle w:val="TableContents"/>
              <w:bidi w:val="0"/>
              <w:spacing w:before="0" w:after="283"/>
              <w:jc w:val="left"/>
              <w:rPr/>
            </w:pPr>
            <w:r>
              <w:rPr/>
              <w:t> </w:t>
            </w:r>
          </w:p>
        </w:tc>
      </w:tr>
      <w:tr>
        <w:trPr/>
        <w:tc>
          <w:tcPr>
            <w:tcW w:w="2494"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2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8" w:type="dxa"/>
            <w:tcBorders/>
            <w:vAlign w:val="center"/>
          </w:tcPr>
          <w:p>
            <w:pPr>
              <w:pStyle w:val="TableContents"/>
              <w:bidi w:val="0"/>
              <w:spacing w:before="0" w:after="283"/>
              <w:jc w:val="left"/>
              <w:rPr/>
            </w:pPr>
            <w:r>
              <w:rPr/>
              <w:t> </w:t>
            </w:r>
          </w:p>
        </w:tc>
      </w:tr>
      <w:tr>
        <w:trPr/>
        <w:tc>
          <w:tcPr>
            <w:tcW w:w="2494" w:type="dxa"/>
            <w:tcBorders/>
            <w:shd w:fill="CCEEFF" w:val="clear"/>
            <w:vAlign w:val="center"/>
          </w:tcPr>
          <w:p>
            <w:pPr>
              <w:pStyle w:val="TableContents"/>
              <w:bidi w:val="0"/>
              <w:spacing w:before="0" w:after="283"/>
              <w:jc w:val="left"/>
              <w:rPr/>
            </w:pPr>
            <w:r>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2326" w:type="dxa"/>
            <w:tcBorders/>
            <w:shd w:fill="CCEEFF" w:val="clear"/>
            <w:vAlign w:val="center"/>
          </w:tcPr>
          <w:p>
            <w:pPr>
              <w:pStyle w:val="TableContents"/>
              <w:bidi w:val="0"/>
              <w:spacing w:before="0" w:after="283"/>
              <w:jc w:val="right"/>
              <w:rPr/>
            </w:pPr>
            <w:r>
              <w:rPr/>
              <w:t>17,858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right"/>
              <w:rPr/>
            </w:pPr>
            <w:r>
              <w:rPr/>
              <w:t>241.41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8,158</w:t>
            </w:r>
          </w:p>
        </w:tc>
        <w:tc>
          <w:tcPr>
            <w:tcW w:w="78" w:type="dxa"/>
            <w:tcBorders/>
            <w:shd w:fill="CCEEFF" w:val="clear"/>
            <w:vAlign w:val="center"/>
          </w:tcPr>
          <w:p>
            <w:pPr>
              <w:pStyle w:val="TableContents"/>
              <w:bidi w:val="0"/>
              <w:spacing w:before="0" w:after="283"/>
              <w:jc w:val="left"/>
              <w:rPr/>
            </w:pPr>
            <w:r>
              <w:rPr/>
              <w:t> </w:t>
            </w:r>
          </w:p>
        </w:tc>
      </w:tr>
      <w:tr>
        <w:trPr/>
        <w:tc>
          <w:tcPr>
            <w:tcW w:w="2494" w:type="dxa"/>
            <w:tcBorders/>
            <w:shd w:fill="FFFFFF" w:val="clear"/>
            <w:vAlign w:val="center"/>
          </w:tcPr>
          <w:p>
            <w:pPr>
              <w:pStyle w:val="TableContents"/>
              <w:bidi w:val="0"/>
              <w:spacing w:before="0" w:after="283"/>
              <w:jc w:val="left"/>
              <w:rPr/>
            </w:pPr>
            <w:r>
              <w:rPr/>
              <w:t>Equity compensation plans not approved by stockholders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8" w:type="dxa"/>
            <w:tcBorders/>
            <w:shd w:fill="FFFFFF" w:val="clear"/>
            <w:vAlign w:val="center"/>
          </w:tcPr>
          <w:p>
            <w:pPr>
              <w:pStyle w:val="TableContents"/>
              <w:bidi w:val="0"/>
              <w:spacing w:before="0" w:after="283"/>
              <w:jc w:val="left"/>
              <w:rPr/>
            </w:pPr>
            <w:r>
              <w:rPr/>
              <w:t> </w:t>
            </w:r>
          </w:p>
        </w:tc>
      </w:tr>
      <w:tr>
        <w:trPr/>
        <w:tc>
          <w:tcPr>
            <w:tcW w:w="2494"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26" w:type="dxa"/>
            <w:tcBorders>
              <w:bottom w:val="double" w:sz="6" w:space="0" w:color="000000"/>
            </w:tcBorders>
            <w:shd w:fill="CCEEFF" w:val="clear"/>
            <w:tcMar>
              <w:bottom w:w="28" w:type="dxa"/>
            </w:tcMar>
            <w:vAlign w:val="center"/>
          </w:tcPr>
          <w:p>
            <w:pPr>
              <w:pStyle w:val="TableContents"/>
              <w:bidi w:val="0"/>
              <w:spacing w:before="0" w:after="283"/>
              <w:jc w:val="right"/>
              <w:rPr/>
            </w:pPr>
            <w:r>
              <w:rPr/>
              <w:t>17,858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359" w:type="dxa"/>
            <w:tcBorders>
              <w:bottom w:val="double" w:sz="6" w:space="0" w:color="000000"/>
            </w:tcBorders>
            <w:shd w:fill="CCEEFF" w:val="clear"/>
            <w:tcMar>
              <w:bottom w:w="28" w:type="dxa"/>
            </w:tcMar>
            <w:vAlign w:val="center"/>
          </w:tcPr>
          <w:p>
            <w:pPr>
              <w:pStyle w:val="TableContents"/>
              <w:bidi w:val="0"/>
              <w:spacing w:before="0" w:after="283"/>
              <w:jc w:val="right"/>
              <w:rPr/>
            </w:pPr>
            <w:r>
              <w:rPr/>
              <w:t>241.41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25" w:type="dxa"/>
            <w:tcBorders>
              <w:bottom w:val="double" w:sz="6" w:space="0" w:color="000000"/>
            </w:tcBorders>
            <w:shd w:fill="CCEEFF" w:val="clear"/>
            <w:tcMar>
              <w:bottom w:w="28" w:type="dxa"/>
            </w:tcMar>
            <w:vAlign w:val="center"/>
          </w:tcPr>
          <w:p>
            <w:pPr>
              <w:pStyle w:val="TableContents"/>
              <w:bidi w:val="0"/>
              <w:spacing w:before="0" w:after="283"/>
              <w:jc w:val="right"/>
              <w:rPr/>
            </w:pPr>
            <w:r>
              <w:rPr/>
              <w:t>8,158</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stock appreciation rights outstanding pursuant to the 2021 Plan and 2021 ESPP. In addition, there are no outstanding warrants to purchase shares of our common stock issued pursuant to our equity compensation plans.</w:t>
            </w:r>
          </w:p>
        </w:tc>
      </w:tr>
      <w:tr>
        <w:trPr/>
        <w:tc>
          <w:tcPr>
            <w:tcW w:w="213" w:type="dxa"/>
            <w:tcBorders/>
            <w:vAlign w:val="center"/>
          </w:tcPr>
          <w:p>
            <w:pPr>
              <w:pStyle w:val="TableContents"/>
              <w:bidi w:val="0"/>
              <w:spacing w:before="0" w:after="283"/>
              <w:jc w:val="left"/>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amount reflects the shares reserved for issuance under our 2021 Plan and 2021 ESPP less the number of shares reported in the first column. The 2021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031"/>
      <w:bookmarkEnd w:id="25"/>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September 2, 2026 as to: (1) each person (or group of affiliated persons) who is known by us to beneficially own more than 5% of the outstanding shares of our Common Stock; (2) each of our named executive officers; (3) each of our directors; and (4) all current directors and executive officers as a group, as of 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 Energy, Inc., 2025 SW Deerhound Avenue, Redmond, OR 97756.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September 2, 2026,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paragraph above and information included in footnotes (1), (2) and (3) to the table below, percentage ownership of outstanding shares is based upon 1,012,498 shares of our Common Stock outstanding as of September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29"/>
        <w:gridCol w:w="60"/>
        <w:gridCol w:w="173"/>
        <w:gridCol w:w="2308"/>
        <w:gridCol w:w="60"/>
        <w:gridCol w:w="60"/>
        <w:gridCol w:w="332"/>
        <w:gridCol w:w="2451"/>
        <w:gridCol w:w="232"/>
      </w:tblGrid>
      <w:tr>
        <w:trPr/>
        <w:tc>
          <w:tcPr>
            <w:tcW w:w="4529" w:type="dxa"/>
            <w:tcBorders/>
            <w:vAlign w:val="center"/>
          </w:tcPr>
          <w:p>
            <w:pPr>
              <w:pStyle w:val="TableContents"/>
              <w:bidi w:val="0"/>
              <w:spacing w:before="0" w:after="283"/>
              <w:jc w:val="left"/>
              <w:rPr>
                <w:b/>
              </w:rPr>
            </w:pPr>
            <w:r>
              <w:rPr>
                <w:b/>
              </w:rPr>
              <w:t>Name of Beneficial Owner</w:t>
            </w:r>
          </w:p>
        </w:tc>
        <w:tc>
          <w:tcPr>
            <w:tcW w:w="60" w:type="dxa"/>
            <w:tcBorders/>
            <w:vAlign w:val="center"/>
          </w:tcPr>
          <w:p>
            <w:pPr>
              <w:pStyle w:val="TableContents"/>
              <w:bidi w:val="0"/>
              <w:spacing w:before="0" w:after="283"/>
              <w:jc w:val="left"/>
              <w:rPr/>
            </w:pPr>
            <w:r>
              <w:rPr/>
              <w:t> </w:t>
            </w:r>
          </w:p>
        </w:tc>
        <w:tc>
          <w:tcPr>
            <w:tcW w:w="2481" w:type="dxa"/>
            <w:gridSpan w:val="2"/>
            <w:tcBorders/>
            <w:vAlign w:val="center"/>
          </w:tcPr>
          <w:p>
            <w:pPr>
              <w:pStyle w:val="TableContents"/>
              <w:bidi w:val="0"/>
              <w:spacing w:before="0" w:after="283"/>
              <w:jc w:val="center"/>
              <w:rPr>
                <w:b/>
              </w:rPr>
            </w:pPr>
            <w:r>
              <w:rPr>
                <w:b/>
              </w:rPr>
              <w:t xml:space="preserve">Number of Shares of Common Stock </w:t>
              <w:br/>
              <w:t>Beneficially 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3" w:type="dxa"/>
            <w:gridSpan w:val="2"/>
            <w:tcBorders/>
            <w:vAlign w:val="center"/>
          </w:tcPr>
          <w:p>
            <w:pPr>
              <w:pStyle w:val="TableContents"/>
              <w:bidi w:val="0"/>
              <w:spacing w:before="0" w:after="283"/>
              <w:jc w:val="center"/>
              <w:rPr>
                <w:b/>
              </w:rPr>
            </w:pPr>
            <w:r>
              <w:rPr>
                <w:b/>
              </w:rPr>
              <w:t>Percentage of Outstanding Common Stock</w:t>
            </w:r>
          </w:p>
        </w:tc>
        <w:tc>
          <w:tcPr>
            <w:tcW w:w="232" w:type="dxa"/>
            <w:tcBorders/>
            <w:vAlign w:val="center"/>
          </w:tcPr>
          <w:p>
            <w:pPr>
              <w:pStyle w:val="TableContents"/>
              <w:bidi w:val="0"/>
              <w:spacing w:before="0" w:after="283"/>
              <w:jc w:val="left"/>
              <w:rPr/>
            </w:pPr>
            <w:r>
              <w:rPr/>
              <w:t> </w:t>
            </w:r>
          </w:p>
        </w:tc>
      </w:tr>
      <w:tr>
        <w:trPr/>
        <w:tc>
          <w:tcPr>
            <w:tcW w:w="4529" w:type="dxa"/>
            <w:tcBorders/>
            <w:shd w:fill="CCEEFF" w:val="clear"/>
            <w:vAlign w:val="center"/>
          </w:tcPr>
          <w:p>
            <w:pPr>
              <w:pStyle w:val="TableContents"/>
              <w:bidi w:val="0"/>
              <w:spacing w:before="0" w:after="283"/>
              <w:jc w:val="left"/>
              <w:rPr>
                <w:b/>
                <w:i/>
              </w:rPr>
            </w:pPr>
            <w:r>
              <w:rPr>
                <w:b/>
                <w:i/>
              </w:rPr>
              <w:t>5% Stockholders:</w:t>
            </w:r>
          </w:p>
        </w:tc>
        <w:tc>
          <w:tcPr>
            <w:tcW w:w="60" w:type="dxa"/>
            <w:tcBorders/>
            <w:shd w:fill="CCEEFF" w:val="clear"/>
            <w:vAlign w:val="center"/>
          </w:tcPr>
          <w:p>
            <w:pPr>
              <w:pStyle w:val="TableContents"/>
              <w:bidi w:val="0"/>
              <w:spacing w:before="0" w:after="283"/>
              <w:jc w:val="left"/>
              <w:rPr/>
            </w:pPr>
            <w:r>
              <w:rPr/>
              <w:t> </w:t>
            </w:r>
          </w:p>
        </w:tc>
        <w:tc>
          <w:tcPr>
            <w:tcW w:w="2481"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3" w:type="dxa"/>
            <w:gridSpan w:val="2"/>
            <w:tcBorders/>
            <w:shd w:fill="CCEEFF" w:val="clear"/>
            <w:vAlign w:val="center"/>
          </w:tcPr>
          <w:p>
            <w:pPr>
              <w:pStyle w:val="TableContents"/>
              <w:bidi w:val="0"/>
              <w:spacing w:before="0" w:after="283"/>
              <w:jc w:val="center"/>
              <w:rPr/>
            </w:pPr>
            <w:r>
              <w:rPr/>
              <w:t> </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Five Narrow Lane LP</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112,374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pPr>
            <w:r>
              <w:rPr/>
              <w:t>9.99</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L1 Capital Global Opportunities Master Fund,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109,997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pPr>
            <w:r>
              <w:rPr/>
              <w:t>9.99</w:t>
            </w:r>
          </w:p>
        </w:tc>
        <w:tc>
          <w:tcPr>
            <w:tcW w:w="232" w:type="dxa"/>
            <w:tcBorders/>
            <w:shd w:fill="CCEEFF" w:val="clear"/>
            <w:vAlign w:val="center"/>
          </w:tcPr>
          <w:p>
            <w:pPr>
              <w:pStyle w:val="TableContents"/>
              <w:bidi w:val="0"/>
              <w:spacing w:before="0" w:after="283"/>
              <w:ind w:left="0" w:right="0" w:hanging="200"/>
              <w:jc w:val="left"/>
              <w:rPr/>
            </w:pPr>
            <w:r>
              <w:rPr/>
              <w:t>%</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Palladium Holdings LLC</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112,374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pPr>
            <w:r>
              <w:rPr/>
              <w:t>9.99</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29" w:type="dxa"/>
            <w:tcBorders/>
            <w:shd w:fill="CCEEFF" w:val="clear"/>
            <w:vAlign w:val="center"/>
          </w:tcPr>
          <w:p>
            <w:pPr>
              <w:pStyle w:val="TableContents"/>
              <w:bidi w:val="0"/>
              <w:spacing w:before="0" w:after="283"/>
              <w:jc w:val="left"/>
              <w:rPr>
                <w:b/>
                <w:i/>
              </w:rPr>
            </w:pPr>
            <w:r>
              <w:rPr>
                <w:b/>
                <w:i/>
              </w:rPr>
              <w:t>Named Executive Officers: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pPr>
            <w:r>
              <w:rPr/>
              <w:t>Kevin Sellers (Chief Executive Officer, President, and Director)</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29" w:type="dxa"/>
            <w:tcBorders/>
            <w:shd w:fill="CCEEFF" w:val="clear"/>
            <w:vAlign w:val="center"/>
          </w:tcPr>
          <w:p>
            <w:pPr>
              <w:pStyle w:val="TableContents"/>
              <w:bidi w:val="0"/>
              <w:spacing w:before="0" w:after="283"/>
              <w:jc w:val="left"/>
              <w:rPr/>
            </w:pPr>
            <w:r>
              <w:rPr/>
              <w:t>Robert Winspear (Chief Financial Officer)</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Hammer (Former Chief Executive Officer and Chairman of the Board)</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112,374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pPr>
            <w:r>
              <w:rPr/>
              <w:t>9.99</w:t>
            </w:r>
          </w:p>
        </w:tc>
        <w:tc>
          <w:tcPr>
            <w:tcW w:w="232" w:type="dxa"/>
            <w:tcBorders/>
            <w:shd w:fill="FFFFFF" w:val="clear"/>
            <w:vAlign w:val="center"/>
          </w:tcPr>
          <w:p>
            <w:pPr>
              <w:pStyle w:val="TableContents"/>
              <w:bidi w:val="0"/>
              <w:spacing w:before="0" w:after="283"/>
              <w:ind w:left="0" w:right="0" w:hanging="200"/>
              <w:jc w:val="left"/>
              <w:rPr/>
            </w:pPr>
            <w:r>
              <w:rPr/>
              <w:t>%</w:t>
            </w:r>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 (Former Chief Executive Officer)</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3,791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pPr>
            <w:r>
              <w:rPr/>
              <w:t>Paul Shoun (Former President, Chief Operating Officer, and Chairman of the Board)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Shawna Bowin (Former Chief Financial Officer)</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19,615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pPr>
            <w:r>
              <w:rPr/>
              <w:t>1.90</w:t>
            </w:r>
          </w:p>
        </w:tc>
        <w:tc>
          <w:tcPr>
            <w:tcW w:w="232" w:type="dxa"/>
            <w:tcBorders/>
            <w:shd w:fill="CCEEFF" w:val="clear"/>
            <w:vAlign w:val="center"/>
          </w:tcPr>
          <w:p>
            <w:pPr>
              <w:pStyle w:val="TableContents"/>
              <w:bidi w:val="0"/>
              <w:spacing w:before="0" w:after="283"/>
              <w:ind w:left="0" w:right="0" w:hanging="200"/>
              <w:jc w:val="left"/>
              <w:rPr/>
            </w:pPr>
            <w:r>
              <w:rPr/>
              <w:t>%</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Carson Heagen (Former Chief Operating Officer)</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2,828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pPr>
            <w:r>
              <w:rPr/>
              <w:t>*</w:t>
            </w:r>
          </w:p>
        </w:tc>
        <w:tc>
          <w:tcPr>
            <w:tcW w:w="232" w:type="dxa"/>
            <w:tcBorders/>
            <w:shd w:fill="FFFFFF" w:val="clear"/>
            <w:vAlign w:val="center"/>
          </w:tcPr>
          <w:p>
            <w:pPr>
              <w:pStyle w:val="TableContents"/>
              <w:bidi w:val="0"/>
              <w:spacing w:before="0" w:after="283"/>
              <w:ind w:left="0" w:right="0" w:hanging="200"/>
              <w:jc w:val="left"/>
              <w:rPr>
                <w:sz w:val="4"/>
                <w:szCs w:val="4"/>
              </w:rPr>
            </w:pPr>
            <w:r>
              <w:rPr>
                <w:sz w:val="4"/>
                <w:szCs w:val="4"/>
              </w:rPr>
            </w:r>
          </w:p>
        </w:tc>
      </w:tr>
      <w:tr>
        <w:trPr/>
        <w:tc>
          <w:tcPr>
            <w:tcW w:w="4529" w:type="dxa"/>
            <w:tcBorders/>
            <w:shd w:fill="CCEEFF" w:val="clear"/>
            <w:vAlign w:val="center"/>
          </w:tcPr>
          <w:p>
            <w:pPr>
              <w:pStyle w:val="TableContents"/>
              <w:bidi w:val="0"/>
              <w:spacing w:before="0" w:after="283"/>
              <w:jc w:val="left"/>
              <w:rPr>
                <w:b/>
                <w:i/>
              </w:rPr>
            </w:pPr>
            <w:r>
              <w:rPr>
                <w:b/>
                <w:i/>
              </w:rPr>
              <w:t>Directors: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Burell (Chairman of the Board)</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29" w:type="dxa"/>
            <w:tcBorders/>
            <w:shd w:fill="CCEEFF" w:val="clear"/>
            <w:vAlign w:val="center"/>
          </w:tcPr>
          <w:p>
            <w:pPr>
              <w:pStyle w:val="TableContents"/>
              <w:bidi w:val="0"/>
              <w:spacing w:before="0" w:after="283"/>
              <w:jc w:val="left"/>
              <w:rPr/>
            </w:pPr>
            <w:r>
              <w:rPr/>
              <w:t>Marc Jarvis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Lefevre (Independent Director)</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5,868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vAlign w:val="center"/>
          </w:tcPr>
          <w:p>
            <w:pPr>
              <w:pStyle w:val="TableContents"/>
              <w:bidi w:val="0"/>
              <w:spacing w:before="0" w:after="283"/>
              <w:ind w:left="0" w:right="0" w:hanging="200"/>
              <w:jc w:val="left"/>
              <w:rPr/>
            </w:pPr>
            <w:r>
              <w:rPr/>
              <w:t> </w:t>
            </w:r>
          </w:p>
        </w:tc>
      </w:tr>
      <w:tr>
        <w:trPr/>
        <w:tc>
          <w:tcPr>
            <w:tcW w:w="45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M. Shum (Independent Director)</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2308" w:type="dxa"/>
            <w:tcBorders/>
            <w:shd w:fill="CCEEFF" w:val="clear"/>
            <w:vAlign w:val="center"/>
          </w:tcPr>
          <w:p>
            <w:pPr>
              <w:pStyle w:val="TableContents"/>
              <w:bidi w:val="0"/>
              <w:spacing w:before="0" w:after="283"/>
              <w:jc w:val="right"/>
              <w:rPr/>
            </w:pPr>
            <w:r>
              <w:rPr/>
              <w:t>5,876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24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vAlign w:val="center"/>
          </w:tcPr>
          <w:p>
            <w:pPr>
              <w:pStyle w:val="TableContents"/>
              <w:bidi w:val="0"/>
              <w:spacing w:before="0" w:after="283"/>
              <w:ind w:left="0" w:right="0" w:hanging="200"/>
              <w:jc w:val="left"/>
              <w:rPr/>
            </w:pPr>
            <w:r>
              <w:rPr/>
              <w:t> </w:t>
            </w:r>
          </w:p>
        </w:tc>
      </w:tr>
      <w:tr>
        <w:trPr/>
        <w:tc>
          <w:tcPr>
            <w:tcW w:w="452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directors and executive officers as a group (seven persons)</w:t>
            </w:r>
            <w:r>
              <w:rPr>
                <w:rFonts w:ascii="Times New Roman;Times;Serif" w:hAnsi="Times New Roman;Times;Serif"/>
                <w:b/>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pPr>
            <w:r>
              <w:rPr/>
              <w:t>39,692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2451" w:type="dxa"/>
            <w:tcBorders/>
            <w:shd w:fill="FFFFFF" w:val="clear"/>
            <w:vAlign w:val="center"/>
          </w:tcPr>
          <w:p>
            <w:pPr>
              <w:pStyle w:val="TableContents"/>
              <w:bidi w:val="0"/>
              <w:spacing w:before="0" w:after="283"/>
              <w:jc w:val="right"/>
              <w:rPr/>
            </w:pPr>
            <w:r>
              <w:rPr/>
              <w:t>3.9</w:t>
            </w:r>
          </w:p>
        </w:tc>
        <w:tc>
          <w:tcPr>
            <w:tcW w:w="232" w:type="dxa"/>
            <w:tcBorders/>
            <w:shd w:fill="FFFFFF" w:val="clear"/>
            <w:vAlign w:val="center"/>
          </w:tcPr>
          <w:p>
            <w:pPr>
              <w:pStyle w:val="TableContents"/>
              <w:bidi w:val="0"/>
              <w:spacing w:before="0" w:after="283"/>
              <w:jc w:val="left"/>
              <w:rPr/>
            </w:pPr>
            <w:r>
              <w:rPr/>
              <w:t>%</w:t>
            </w:r>
          </w:p>
        </w:tc>
      </w:tr>
    </w:tbl>
    <w:tbl>
      <w:tblPr>
        <w:tblW w:w="1300" w:type="dxa"/>
        <w:jc w:val="left"/>
        <w:tblInd w:w="0" w:type="dxa"/>
        <w:shd w:fill="FFFFFF" w:val="clear"/>
        <w:tblLayout w:type="fixed"/>
        <w:tblCellMar>
          <w:top w:w="0" w:type="dxa"/>
          <w:left w:w="0" w:type="dxa"/>
          <w:bottom w:w="0" w:type="dxa"/>
          <w:right w:w="0" w:type="dxa"/>
        </w:tblCellMar>
      </w:tblPr>
      <w:tblGrid>
        <w:gridCol w:w="140"/>
        <w:gridCol w:w="1160"/>
      </w:tblGrid>
      <w:tr>
        <w:trPr/>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2"/>
        <w:gridCol w:w="60"/>
        <w:gridCol w:w="983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is based solely on a Schedule 13D filed by the stockholder on August 28, 2026. 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securities are directly held of record by Five Narrow Lane LP ("FNL"), except that Five Narrow Lane General Partner, LLC, the General Partner of FNL, may be deemed to have sole voting and dispositive power over the securities, and Joseph Hammer and Arie Rabinowitz may be deemed to have shared voting and dispositive power over the securities. The address of FNL is 510 Madison Avenue, Suite 1401, New York, NY 10022.</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L1 Capital Global Opportunities Master Fund, Ltd. is 161A Shedden Road, 1 Artillery Court, PO Box 10085, Grand Cayman, Cayman Islands KY1-1001.</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Palladium Holdings LLC is 152 West 57</w:t>
            </w:r>
            <w:r>
              <w:rPr>
                <w:rFonts w:ascii="Times New Roman;Times;Serif" w:hAnsi="Times New Roman;Times;Serif"/>
                <w:position w:val="7"/>
                <w:sz w:val="16"/>
                <w:sz w:val="20"/>
              </w:rPr>
              <w:t>th</w:t>
            </w:r>
            <w:r>
              <w:rPr>
                <w:rFonts w:ascii="Times New Roman;Times;Serif" w:hAnsi="Times New Roman;Times;Serif"/>
                <w:sz w:val="20"/>
              </w:rPr>
              <w:t xml:space="preserve"> Street, Floor 24, New York, NY 10019.</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shares of common stock Mr. Hammer indirectly beneficially owns as described in footnote 1 to this table. </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3,791 shares of common stock which Mr. Schaffner has the right to acquire upon the exercise of stock options exercisable within 60 days of September 2, 2026. Mr. Schaffner does not directly own any shares of common stock.</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19,211 shares of common stock owned directly by Ms. Bowin, and (ii) 404 shares of common stock which Ms. Bowin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9,583 shares of common stock owned directly by Mr. Heagen, and (ii) 2,828 shares of common stock which Mr. Heagen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5,000 shares of common stock owned directly by Mr. Burell, and (ii) 3,333  shares of common stock which Mr. Burell has the right to acquire upon the vesting and settlement of RSUs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5,427 shares of common stock owned directly by Mr. Lefevre, and (ii) 441 shares of common stock which Mr. Lefevre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5,427 shares of common stock owned directly by Mr. Shum, and (ii) 449 shares of common stock which Mr. Shum has the right to acquire upon the exercise of stock options exercisable within 60 days of September 2, 2026.</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current directors and current executive officers.</w:t>
            </w:r>
          </w:p>
        </w:tc>
      </w:tr>
      <w:tr>
        <w:trPr/>
        <w:tc>
          <w:tcPr>
            <w:tcW w:w="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833" w:type="dxa"/>
            <w:tcBorders/>
            <w:vAlign w:val="center"/>
          </w:tcPr>
          <w:p>
            <w:pPr>
              <w:pStyle w:val="TableContents"/>
              <w:bidi w:val="0"/>
              <w:spacing w:before="0" w:after="283"/>
              <w:jc w:val="both"/>
              <w:rPr/>
            </w:pPr>
            <w:r>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007"/>
      <w:bookmarkEnd w:id="26"/>
      <w:r>
        <w:rPr>
          <w:rFonts w:ascii="Times New Roman;Times;Serif" w:hAnsi="Times New Roman;Times;Serif"/>
          <w:b/>
          <w:i w:val="false"/>
          <w:caps w:val="false"/>
          <w:smallCaps w:val="false"/>
          <w:sz w:val="20"/>
        </w:rPr>
        <w:t xml:space="preserve">PROPOSAL NO.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directors, and each director’s term expires at each annual meeting of stockholders. Below is a list of the names, ages, and positions of the individuals our Board has nominated for re-election at the Annual Meeting:</w:t>
      </w:r>
    </w:p>
    <w:p>
      <w:pPr>
        <w:pStyle w:val="TextBody"/>
        <w:bidi w:val="0"/>
        <w:spacing w:before="0" w:after="0"/>
        <w:ind w:left="0"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370"/>
        <w:gridCol w:w="350"/>
        <w:gridCol w:w="1235"/>
        <w:gridCol w:w="3830"/>
        <w:gridCol w:w="2285"/>
      </w:tblGrid>
      <w:tr>
        <w:trPr/>
        <w:tc>
          <w:tcPr>
            <w:tcW w:w="1370" w:type="dxa"/>
            <w:tcBorders/>
            <w:vAlign w:val="center"/>
          </w:tcPr>
          <w:p>
            <w:pPr>
              <w:pStyle w:val="TableContents"/>
              <w:bidi w:val="0"/>
              <w:spacing w:before="0" w:after="283"/>
              <w:jc w:val="both"/>
              <w:rPr>
                <w:b/>
                <w:sz w:val="20"/>
              </w:rPr>
            </w:pPr>
            <w:r>
              <w:rPr>
                <w:b/>
                <w:sz w:val="20"/>
              </w:rPr>
              <w:t>Name</w:t>
            </w:r>
          </w:p>
        </w:tc>
        <w:tc>
          <w:tcPr>
            <w:tcW w:w="350" w:type="dxa"/>
            <w:tcBorders/>
            <w:vAlign w:val="center"/>
          </w:tcPr>
          <w:p>
            <w:pPr>
              <w:pStyle w:val="TableContents"/>
              <w:bidi w:val="0"/>
              <w:spacing w:before="0" w:after="283"/>
              <w:jc w:val="center"/>
              <w:rPr>
                <w:b/>
                <w:sz w:val="20"/>
              </w:rPr>
            </w:pPr>
            <w:r>
              <w:rPr>
                <w:b/>
                <w:sz w:val="20"/>
              </w:rPr>
              <w:t>Age</w:t>
            </w:r>
          </w:p>
        </w:tc>
        <w:tc>
          <w:tcPr>
            <w:tcW w:w="1235" w:type="dxa"/>
            <w:tcBorders/>
            <w:vAlign w:val="center"/>
          </w:tcPr>
          <w:p>
            <w:pPr>
              <w:pStyle w:val="TableContents"/>
              <w:bidi w:val="0"/>
              <w:spacing w:before="0" w:after="283"/>
              <w:jc w:val="center"/>
              <w:rPr>
                <w:b/>
                <w:sz w:val="20"/>
              </w:rPr>
            </w:pPr>
            <w:r>
              <w:rPr>
                <w:b/>
                <w:sz w:val="20"/>
              </w:rPr>
              <w:t>Director Since</w:t>
            </w:r>
          </w:p>
        </w:tc>
        <w:tc>
          <w:tcPr>
            <w:tcW w:w="3830" w:type="dxa"/>
            <w:tcBorders/>
            <w:vAlign w:val="center"/>
          </w:tcPr>
          <w:p>
            <w:pPr>
              <w:pStyle w:val="TableContents"/>
              <w:bidi w:val="0"/>
              <w:spacing w:before="0" w:after="283"/>
              <w:jc w:val="both"/>
              <w:rPr>
                <w:b/>
                <w:sz w:val="20"/>
              </w:rPr>
            </w:pPr>
            <w:r>
              <w:rPr>
                <w:b/>
                <w:sz w:val="20"/>
              </w:rPr>
              <w:t>Position</w:t>
            </w:r>
          </w:p>
        </w:tc>
        <w:tc>
          <w:tcPr>
            <w:tcW w:w="2285" w:type="dxa"/>
            <w:tcBorders/>
            <w:vAlign w:val="center"/>
          </w:tcPr>
          <w:p>
            <w:pPr>
              <w:pStyle w:val="TableContents"/>
              <w:bidi w:val="0"/>
              <w:spacing w:before="0" w:after="283"/>
              <w:jc w:val="both"/>
              <w:rPr>
                <w:b/>
                <w:sz w:val="20"/>
              </w:rPr>
            </w:pPr>
            <w:r>
              <w:rPr>
                <w:b/>
                <w:sz w:val="20"/>
              </w:rPr>
              <w:t>Committee Membership</w:t>
            </w:r>
            <w:r>
              <w:rPr>
                <w:b/>
                <w:position w:val="7"/>
                <w:sz w:val="16"/>
                <w:sz w:val="20"/>
              </w:rPr>
              <w:t>(1)</w:t>
            </w:r>
          </w:p>
        </w:tc>
      </w:tr>
      <w:tr>
        <w:trPr/>
        <w:tc>
          <w:tcPr>
            <w:tcW w:w="1370" w:type="dxa"/>
            <w:tcBorders/>
            <w:vAlign w:val="center"/>
          </w:tcPr>
          <w:p>
            <w:pPr>
              <w:pStyle w:val="TableContents"/>
              <w:bidi w:val="0"/>
              <w:spacing w:before="0" w:after="283"/>
              <w:jc w:val="both"/>
              <w:rPr>
                <w:sz w:val="20"/>
              </w:rPr>
            </w:pPr>
            <w:r>
              <w:rPr>
                <w:sz w:val="20"/>
              </w:rPr>
              <w:t>Scott Burell</w:t>
            </w:r>
          </w:p>
        </w:tc>
        <w:tc>
          <w:tcPr>
            <w:tcW w:w="350" w:type="dxa"/>
            <w:tcBorders/>
            <w:vAlign w:val="center"/>
          </w:tcPr>
          <w:p>
            <w:pPr>
              <w:pStyle w:val="TableContents"/>
              <w:bidi w:val="0"/>
              <w:spacing w:before="0" w:after="283"/>
              <w:jc w:val="center"/>
              <w:rPr>
                <w:sz w:val="20"/>
              </w:rPr>
            </w:pPr>
            <w:r>
              <w:rPr>
                <w:sz w:val="20"/>
              </w:rPr>
              <w:t>61</w:t>
            </w:r>
          </w:p>
        </w:tc>
        <w:tc>
          <w:tcPr>
            <w:tcW w:w="1235" w:type="dxa"/>
            <w:tcBorders/>
            <w:vAlign w:val="center"/>
          </w:tcPr>
          <w:p>
            <w:pPr>
              <w:pStyle w:val="TableContents"/>
              <w:bidi w:val="0"/>
              <w:spacing w:before="0" w:after="283"/>
              <w:jc w:val="center"/>
              <w:rPr>
                <w:sz w:val="20"/>
              </w:rPr>
            </w:pPr>
            <w:r>
              <w:rPr>
                <w:sz w:val="20"/>
              </w:rPr>
              <w:t>2025</w:t>
            </w:r>
          </w:p>
        </w:tc>
        <w:tc>
          <w:tcPr>
            <w:tcW w:w="3830" w:type="dxa"/>
            <w:tcBorders/>
            <w:vAlign w:val="center"/>
          </w:tcPr>
          <w:p>
            <w:pPr>
              <w:pStyle w:val="TableContents"/>
              <w:bidi w:val="0"/>
              <w:spacing w:before="0" w:after="283"/>
              <w:jc w:val="both"/>
              <w:rPr>
                <w:sz w:val="20"/>
              </w:rPr>
            </w:pPr>
            <w:r>
              <w:rPr>
                <w:sz w:val="20"/>
              </w:rPr>
              <w:t>Chairman of the Board</w:t>
            </w:r>
          </w:p>
        </w:tc>
        <w:tc>
          <w:tcPr>
            <w:tcW w:w="2285" w:type="dxa"/>
            <w:tcBorders/>
            <w:vAlign w:val="center"/>
          </w:tcPr>
          <w:p>
            <w:pPr>
              <w:pStyle w:val="TableContents"/>
              <w:bidi w:val="0"/>
              <w:spacing w:before="0" w:after="283"/>
              <w:jc w:val="both"/>
              <w:rPr>
                <w:sz w:val="20"/>
              </w:rPr>
            </w:pPr>
            <w:r>
              <w:rPr>
                <w:sz w:val="20"/>
              </w:rPr>
              <w:t>(A*) (C) (N)</w:t>
            </w:r>
          </w:p>
        </w:tc>
      </w:tr>
      <w:tr>
        <w:trPr/>
        <w:tc>
          <w:tcPr>
            <w:tcW w:w="1370" w:type="dxa"/>
            <w:tcBorders/>
            <w:vAlign w:val="center"/>
          </w:tcPr>
          <w:p>
            <w:pPr>
              <w:pStyle w:val="TableContents"/>
              <w:bidi w:val="0"/>
              <w:spacing w:before="0" w:after="283"/>
              <w:jc w:val="both"/>
              <w:rPr>
                <w:sz w:val="20"/>
              </w:rPr>
            </w:pPr>
            <w:r>
              <w:rPr>
                <w:sz w:val="20"/>
              </w:rPr>
              <w:t>Kevin Sellers</w:t>
            </w:r>
          </w:p>
        </w:tc>
        <w:tc>
          <w:tcPr>
            <w:tcW w:w="350" w:type="dxa"/>
            <w:tcBorders/>
            <w:vAlign w:val="center"/>
          </w:tcPr>
          <w:p>
            <w:pPr>
              <w:pStyle w:val="TableContents"/>
              <w:bidi w:val="0"/>
              <w:spacing w:before="0" w:after="283"/>
              <w:jc w:val="center"/>
              <w:rPr>
                <w:sz w:val="20"/>
              </w:rPr>
            </w:pPr>
            <w:r>
              <w:rPr>
                <w:sz w:val="20"/>
              </w:rPr>
              <w:t>54</w:t>
            </w:r>
          </w:p>
        </w:tc>
        <w:tc>
          <w:tcPr>
            <w:tcW w:w="1235" w:type="dxa"/>
            <w:tcBorders/>
            <w:vAlign w:val="center"/>
          </w:tcPr>
          <w:p>
            <w:pPr>
              <w:pStyle w:val="TableContents"/>
              <w:bidi w:val="0"/>
              <w:spacing w:before="0" w:after="283"/>
              <w:jc w:val="center"/>
              <w:rPr>
                <w:sz w:val="20"/>
              </w:rPr>
            </w:pPr>
            <w:r>
              <w:rPr>
                <w:sz w:val="20"/>
              </w:rPr>
              <w:t>2026</w:t>
            </w:r>
          </w:p>
        </w:tc>
        <w:tc>
          <w:tcPr>
            <w:tcW w:w="3830" w:type="dxa"/>
            <w:tcBorders/>
            <w:vAlign w:val="center"/>
          </w:tcPr>
          <w:p>
            <w:pPr>
              <w:pStyle w:val="TableContents"/>
              <w:bidi w:val="0"/>
              <w:spacing w:before="0" w:after="283"/>
              <w:jc w:val="left"/>
              <w:rPr>
                <w:sz w:val="20"/>
              </w:rPr>
            </w:pPr>
            <w:r>
              <w:rPr>
                <w:sz w:val="20"/>
              </w:rPr>
              <w:t>President, Chief Executive Officer and Director</w:t>
            </w:r>
          </w:p>
        </w:tc>
        <w:tc>
          <w:tcPr>
            <w:tcW w:w="2285" w:type="dxa"/>
            <w:tcBorders/>
            <w:vAlign w:val="center"/>
          </w:tcPr>
          <w:p>
            <w:pPr>
              <w:pStyle w:val="TableContents"/>
              <w:bidi w:val="0"/>
              <w:spacing w:before="0" w:after="283"/>
              <w:jc w:val="both"/>
              <w:rPr/>
            </w:pPr>
            <w:r>
              <w:rPr/>
              <w:t> </w:t>
            </w:r>
          </w:p>
        </w:tc>
      </w:tr>
      <w:tr>
        <w:trPr/>
        <w:tc>
          <w:tcPr>
            <w:tcW w:w="1370" w:type="dxa"/>
            <w:tcBorders/>
            <w:vAlign w:val="center"/>
          </w:tcPr>
          <w:p>
            <w:pPr>
              <w:pStyle w:val="TableContents"/>
              <w:bidi w:val="0"/>
              <w:spacing w:before="0" w:after="283"/>
              <w:jc w:val="both"/>
              <w:rPr>
                <w:sz w:val="20"/>
              </w:rPr>
            </w:pPr>
            <w:r>
              <w:rPr>
                <w:sz w:val="20"/>
              </w:rPr>
              <w:t>Marc Jarvis</w:t>
            </w:r>
          </w:p>
        </w:tc>
        <w:tc>
          <w:tcPr>
            <w:tcW w:w="350" w:type="dxa"/>
            <w:tcBorders/>
            <w:vAlign w:val="center"/>
          </w:tcPr>
          <w:p>
            <w:pPr>
              <w:pStyle w:val="TableContents"/>
              <w:bidi w:val="0"/>
              <w:spacing w:before="0" w:after="283"/>
              <w:jc w:val="center"/>
              <w:rPr>
                <w:sz w:val="20"/>
              </w:rPr>
            </w:pPr>
            <w:r>
              <w:rPr>
                <w:sz w:val="20"/>
              </w:rPr>
              <w:t>70</w:t>
            </w:r>
          </w:p>
        </w:tc>
        <w:tc>
          <w:tcPr>
            <w:tcW w:w="1235" w:type="dxa"/>
            <w:tcBorders/>
            <w:vAlign w:val="center"/>
          </w:tcPr>
          <w:p>
            <w:pPr>
              <w:pStyle w:val="TableContents"/>
              <w:bidi w:val="0"/>
              <w:spacing w:before="0" w:after="283"/>
              <w:jc w:val="center"/>
              <w:rPr>
                <w:sz w:val="20"/>
              </w:rPr>
            </w:pPr>
            <w:r>
              <w:rPr>
                <w:sz w:val="20"/>
              </w:rPr>
              <w:t>2026</w:t>
            </w:r>
          </w:p>
        </w:tc>
        <w:tc>
          <w:tcPr>
            <w:tcW w:w="3830" w:type="dxa"/>
            <w:tcBorders/>
            <w:vAlign w:val="center"/>
          </w:tcPr>
          <w:p>
            <w:pPr>
              <w:pStyle w:val="TableContents"/>
              <w:bidi w:val="0"/>
              <w:spacing w:before="0" w:after="283"/>
              <w:jc w:val="both"/>
              <w:rPr>
                <w:sz w:val="20"/>
              </w:rPr>
            </w:pPr>
            <w:r>
              <w:rPr>
                <w:sz w:val="20"/>
              </w:rPr>
              <w:t>Director</w:t>
            </w:r>
          </w:p>
        </w:tc>
        <w:tc>
          <w:tcPr>
            <w:tcW w:w="2285" w:type="dxa"/>
            <w:tcBorders/>
            <w:vAlign w:val="center"/>
          </w:tcPr>
          <w:p>
            <w:pPr>
              <w:pStyle w:val="TableContents"/>
              <w:bidi w:val="0"/>
              <w:spacing w:before="0" w:after="283"/>
              <w:jc w:val="both"/>
              <w:rPr/>
            </w:pPr>
            <w:r>
              <w:rPr/>
              <w:t> </w:t>
            </w:r>
          </w:p>
        </w:tc>
      </w:tr>
      <w:tr>
        <w:trPr/>
        <w:tc>
          <w:tcPr>
            <w:tcW w:w="1370" w:type="dxa"/>
            <w:tcBorders/>
            <w:vAlign w:val="center"/>
          </w:tcPr>
          <w:p>
            <w:pPr>
              <w:pStyle w:val="TableContents"/>
              <w:bidi w:val="0"/>
              <w:spacing w:before="0" w:after="283"/>
              <w:jc w:val="both"/>
              <w:rPr>
                <w:sz w:val="20"/>
              </w:rPr>
            </w:pPr>
            <w:r>
              <w:rPr>
                <w:sz w:val="20"/>
              </w:rPr>
              <w:t>George Lefevre</w:t>
            </w:r>
          </w:p>
        </w:tc>
        <w:tc>
          <w:tcPr>
            <w:tcW w:w="350" w:type="dxa"/>
            <w:tcBorders/>
            <w:vAlign w:val="center"/>
          </w:tcPr>
          <w:p>
            <w:pPr>
              <w:pStyle w:val="TableContents"/>
              <w:bidi w:val="0"/>
              <w:spacing w:before="0" w:after="283"/>
              <w:jc w:val="center"/>
              <w:rPr>
                <w:sz w:val="20"/>
              </w:rPr>
            </w:pPr>
            <w:r>
              <w:rPr>
                <w:sz w:val="20"/>
              </w:rPr>
              <w:t>59</w:t>
            </w:r>
          </w:p>
        </w:tc>
        <w:tc>
          <w:tcPr>
            <w:tcW w:w="1235" w:type="dxa"/>
            <w:tcBorders/>
            <w:vAlign w:val="center"/>
          </w:tcPr>
          <w:p>
            <w:pPr>
              <w:pStyle w:val="TableContents"/>
              <w:bidi w:val="0"/>
              <w:spacing w:before="0" w:after="283"/>
              <w:jc w:val="center"/>
              <w:rPr>
                <w:sz w:val="20"/>
              </w:rPr>
            </w:pPr>
            <w:r>
              <w:rPr>
                <w:sz w:val="20"/>
              </w:rPr>
              <w:t>2022</w:t>
            </w:r>
          </w:p>
        </w:tc>
        <w:tc>
          <w:tcPr>
            <w:tcW w:w="3830" w:type="dxa"/>
            <w:tcBorders/>
            <w:vAlign w:val="center"/>
          </w:tcPr>
          <w:p>
            <w:pPr>
              <w:pStyle w:val="TableContents"/>
              <w:bidi w:val="0"/>
              <w:spacing w:before="0" w:after="283"/>
              <w:jc w:val="both"/>
              <w:rPr>
                <w:sz w:val="20"/>
              </w:rPr>
            </w:pPr>
            <w:r>
              <w:rPr>
                <w:sz w:val="20"/>
              </w:rPr>
              <w:t>Director</w:t>
            </w:r>
          </w:p>
        </w:tc>
        <w:tc>
          <w:tcPr>
            <w:tcW w:w="2285" w:type="dxa"/>
            <w:tcBorders/>
            <w:vAlign w:val="center"/>
          </w:tcPr>
          <w:p>
            <w:pPr>
              <w:pStyle w:val="TableContents"/>
              <w:bidi w:val="0"/>
              <w:spacing w:before="0" w:after="283"/>
              <w:jc w:val="both"/>
              <w:rPr>
                <w:sz w:val="20"/>
              </w:rPr>
            </w:pPr>
            <w:r>
              <w:rPr>
                <w:sz w:val="20"/>
              </w:rPr>
              <w:t>(A) (C) (N*)</w:t>
            </w:r>
          </w:p>
        </w:tc>
      </w:tr>
      <w:tr>
        <w:trPr/>
        <w:tc>
          <w:tcPr>
            <w:tcW w:w="1370" w:type="dxa"/>
            <w:tcBorders/>
            <w:vAlign w:val="center"/>
          </w:tcPr>
          <w:p>
            <w:pPr>
              <w:pStyle w:val="TableContents"/>
              <w:bidi w:val="0"/>
              <w:spacing w:before="0" w:after="283"/>
              <w:jc w:val="both"/>
              <w:rPr>
                <w:sz w:val="20"/>
              </w:rPr>
            </w:pPr>
            <w:r>
              <w:rPr>
                <w:sz w:val="20"/>
              </w:rPr>
              <w:t>Steven M. Shum</w:t>
            </w:r>
          </w:p>
        </w:tc>
        <w:tc>
          <w:tcPr>
            <w:tcW w:w="350" w:type="dxa"/>
            <w:tcBorders/>
            <w:vAlign w:val="center"/>
          </w:tcPr>
          <w:p>
            <w:pPr>
              <w:pStyle w:val="TableContents"/>
              <w:bidi w:val="0"/>
              <w:spacing w:before="0" w:after="283"/>
              <w:jc w:val="center"/>
              <w:rPr>
                <w:sz w:val="20"/>
              </w:rPr>
            </w:pPr>
            <w:r>
              <w:rPr>
                <w:sz w:val="20"/>
              </w:rPr>
              <w:t>55</w:t>
            </w:r>
          </w:p>
        </w:tc>
        <w:tc>
          <w:tcPr>
            <w:tcW w:w="1235" w:type="dxa"/>
            <w:tcBorders/>
            <w:vAlign w:val="center"/>
          </w:tcPr>
          <w:p>
            <w:pPr>
              <w:pStyle w:val="TableContents"/>
              <w:bidi w:val="0"/>
              <w:spacing w:before="0" w:after="283"/>
              <w:jc w:val="center"/>
              <w:rPr>
                <w:sz w:val="20"/>
              </w:rPr>
            </w:pPr>
            <w:r>
              <w:rPr>
                <w:sz w:val="20"/>
              </w:rPr>
              <w:t>2022</w:t>
            </w:r>
          </w:p>
        </w:tc>
        <w:tc>
          <w:tcPr>
            <w:tcW w:w="3830" w:type="dxa"/>
            <w:tcBorders/>
            <w:vAlign w:val="center"/>
          </w:tcPr>
          <w:p>
            <w:pPr>
              <w:pStyle w:val="TableContents"/>
              <w:bidi w:val="0"/>
              <w:spacing w:before="0" w:after="283"/>
              <w:jc w:val="both"/>
              <w:rPr>
                <w:sz w:val="20"/>
              </w:rPr>
            </w:pPr>
            <w:r>
              <w:rPr>
                <w:sz w:val="20"/>
              </w:rPr>
              <w:t>Director</w:t>
            </w:r>
          </w:p>
        </w:tc>
        <w:tc>
          <w:tcPr>
            <w:tcW w:w="2285" w:type="dxa"/>
            <w:tcBorders/>
            <w:vAlign w:val="center"/>
          </w:tcPr>
          <w:p>
            <w:pPr>
              <w:pStyle w:val="TableContents"/>
              <w:bidi w:val="0"/>
              <w:spacing w:before="0" w:after="283"/>
              <w:jc w:val="both"/>
              <w:rPr>
                <w:sz w:val="20"/>
              </w:rPr>
            </w:pPr>
            <w:r>
              <w:rPr>
                <w:sz w:val="20"/>
              </w:rPr>
              <w:t>(A) (C*) (N)</w:t>
            </w:r>
          </w:p>
        </w:tc>
      </w:tr>
    </w:tbl>
    <w:tbl>
      <w:tblPr>
        <w:tblW w:w="3168" w:type="dxa"/>
        <w:jc w:val="left"/>
        <w:tblInd w:w="0" w:type="dxa"/>
        <w:tblLayout w:type="fixed"/>
        <w:tblCellMar>
          <w:top w:w="0" w:type="dxa"/>
          <w:left w:w="0" w:type="dxa"/>
          <w:bottom w:w="0" w:type="dxa"/>
          <w:right w:w="0" w:type="dxa"/>
        </w:tblCellMar>
      </w:tblPr>
      <w:tblGrid>
        <w:gridCol w:w="38"/>
        <w:gridCol w:w="29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2840" w:type="dxa"/>
            <w:tcBorders/>
            <w:vAlign w:val="center"/>
          </w:tcPr>
          <w:p>
            <w:pPr>
              <w:pStyle w:val="TableContents"/>
              <w:bidi w:val="0"/>
              <w:spacing w:before="0" w:after="283"/>
              <w:jc w:val="both"/>
              <w:rPr/>
            </w:pPr>
            <w:r>
              <w:rPr/>
              <w:t>Committee Membership Key:</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Audit Committee Member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Compensation Committee Member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 Nominating and Corporate Governance Committee Member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Committee Chair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elected at the Annual Meeting, Messrs. Burell, Sellers, Jarvis, Lefevre, and Shum will serve until our annual meeting to be held in 2027 (the “2027 Annual Meeting”), or until their respective successors are duly elected and qualified, or until such director’s earlier death,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Bylaws, only our Board may fill any vacancies on our Board, any director appointed to fill a vacancy will serve until the next annual meeting of stockholders. Each director’s term continues until the election and qualification of his or her successor, or until his or her earlier death, resignation or removal. Between annual meetings, our Board may appoint additional directors, provided that the total number of directors appointed by our Board since the last annual meeting at which directors were elected does not exceed half the number of directors fixed at that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Nominees for Election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biographical information for each director nominee and a summary of the specific qualifications, attributes, skills and experiences that led our Board to conclude that each nominee should serve on our Board. Each of our director nominees meet the qualifications and skills as identified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Burell – Chairman of the Board and Independent Director</w:t>
      </w:r>
      <w:r>
        <w:rPr>
          <w:rFonts w:ascii="Times New Roman;Times;Serif" w:hAnsi="Times New Roman;Times;Serif"/>
          <w:b w:val="false"/>
          <w:i w:val="false"/>
          <w:caps w:val="false"/>
          <w:smallCaps w:val="false"/>
          <w:sz w:val="20"/>
        </w:rPr>
        <w:t>. Mr. Burell has served as a member of our Board since October 2025. Mr. Burell is a seasoned healthcare finance executive with over two decades of experience leading public life sciences companies through complex transactions and growth phases. Mr. Burell previously served as the Chief Financial Officer of Trailblazer Merger Corporation I (Nasdaq: TBMC) from April 2022 to March 2026. Mr. Burell currently serves as Chief Financial Officer of AIVITA Biomedical, Inc. (“AIVITA”), a personalized vaccine company, a position he has held since 2018. Prior to joining AIVITA, from 2006 to 2017, Mr. Burell served as Chief Financial Officer of CombiMatrix Corporation (Nasdaq: CBMX) through its successful acquisition by Invitae Corporation (NYSE: NVTA) in 2017. He has a proven track record in leading public and private debt and equity financing transactions, corporate reorganizations, and complex merger and acquisition activities. Mr. Burell has also served on several Boards of Directors, including Microbot Medical, Inc. (Nasdaq: MBOT), a medical device company specializing in the researching, designing, developing and commercializing of transformational micro-robotics medical technologies, since December 2016, where he also serves as chair of the audit committee. He also previously served on the board of directors of DIH Holding US, Inc., (Nasdaq: DHAI), a global provider of advanced robotic devices used in physical rehabilitation, from August 2025 to February 2026. He holds a Bachelor of Science in Accounting and Business Finance from Central Washington University and is a certified public accountant (currently inactive). We believe Mr. Burell is qualified to serve on our Board because of his extensive experience serving in leadership roles at publicly traded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Kevin Sellers – President, Chief Executive Officer and Director</w:t>
      </w:r>
      <w:r>
        <w:rPr>
          <w:rFonts w:ascii="Times New Roman;Times;Serif" w:hAnsi="Times New Roman;Times;Serif"/>
          <w:b w:val="false"/>
          <w:i w:val="false"/>
          <w:caps w:val="false"/>
          <w:smallCaps w:val="false"/>
          <w:sz w:val="20"/>
        </w:rPr>
        <w:t>. Mr. Sellers was appointed as President, Chief Executive Officer and a member of our Board, effective August 24, 2026. Mr. Sellers has served as the Founder and Managing Member of Cynergy, a boutique investment banking firm based in Central Texas that specializes in upstream and midstream oil and gas transactions since 2009. Under his leadership, Cynergy has been a party to more than $5.0 billion in closed or advised transactions, and built Cynergy into a trusted advisor known for combining deep owner-operator experience with sophisticated capital markets expertise. Prior to founding Cynergy, Mr. Sellers co-founded and served as Managing Partner of KMR Capital, LLC, a boutique energy-focused investment bank, from 2003 to 2009, where he completed multiple debt and equity raises and helped launch three independent exploration and production companies. Concurrently, he co-founded and operated the Spyglass exploration and production partnerships, including Spyglass Cedar Creek LP, where he directed operations across 130,000 acres in the Rockies, raised equity and debt capital, and structured joint ventures. Mr. Sellers holds FINRA Series 7, 63, and 67 licenses and is a graduate of Texas State University. We believe Mr. Sellers is qualified to serve on our Board because of his extensive investment banking, financial and operational experience in the oil and gas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Marc Jarvis – Director</w:t>
      </w:r>
      <w:r>
        <w:rPr>
          <w:rFonts w:ascii="Times New Roman;Times;Serif" w:hAnsi="Times New Roman;Times;Serif"/>
          <w:b w:val="false"/>
          <w:i w:val="false"/>
          <w:caps w:val="false"/>
          <w:smallCaps w:val="false"/>
          <w:sz w:val="20"/>
        </w:rPr>
        <w:t>. Mr. Jarvis brings more than four decades of executive, management and technical expertise within the oil and gas industry. Mr. Jarvis is a Partner at Cynergy, a consulting firm providing transaction and investment banking services to clients in the oil and gas industry since 2009. Prior to joining Cynergy in 2020, Mr. Jarvis served as the Executive Vice President, Exploration &amp; Production, of Falcon V, LLC, a New Orleans-based private equity backed oil and gas company focused on Deep Tuscaloosa assets, from 2016 to 2019. From 2011 to 2015, Mr. Jarvis served as Senior Vice President, Engineering, and later Executive Vice President, Exploration &amp; Production, of Summit Discovery Resources LLC, a wholly owned subsidiary of Sumitomo Corporation of Japan, where he was responsible for managing operations, reservoir engineering and geologic departments overseeing an asset base valued at over $1.8 billion and consisting of 730,000 gross acres. From 2005 to 2011, Mr. Jarvis was the Owner and Manager of Skyline Oil &amp; Gas LLC, a Houston-based exploration and development company that originated joint ventures and service contracts. From 1999 to 2005, Mr. Jarvis served as Director of Engineering &amp; Corporate Planning and Director of Acquisitions at Penn Virginia Oil &amp; Gas Corporation, playing a key role in expanding the Gulf Coast Division, executing over $160 million in acquisitions. Mr. Jarvis holds an A.S. and B.S. in Petroleum Engineering Technology from Oklahoma State University. We believe Mr. Jarvis is qualified to serve on our Board because of his extensive investment banking, financial and operational experience in the oil and gas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George Lefevre – Independent Director</w:t>
      </w:r>
      <w:r>
        <w:rPr>
          <w:rFonts w:ascii="Times New Roman;Times;Serif" w:hAnsi="Times New Roman;Times;Serif"/>
          <w:b w:val="false"/>
          <w:i w:val="false"/>
          <w:caps w:val="false"/>
          <w:smallCaps w:val="false"/>
          <w:sz w:val="20"/>
        </w:rPr>
        <w:t>. Mr. Lefevre has served as a member of our Board since March 2022. He is a business consultant focused on business development and structural guidance for companies. From 2009 through 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Steven M. Shum</w:t>
      </w:r>
      <w:r>
        <w:rPr>
          <w:rFonts w:ascii="Times New Roman;Times;Serif" w:hAnsi="Times New Roman;Times;Serif"/>
          <w:b/>
          <w:i w:val="false"/>
          <w:caps w:val="false"/>
          <w:smallCaps w:val="false"/>
          <w:sz w:val="20"/>
        </w:rPr>
        <w:t xml:space="preserve"> – </w:t>
      </w:r>
      <w:r>
        <w:rPr>
          <w:rFonts w:ascii="Times New Roman;Times;Serif" w:hAnsi="Times New Roman;Times;Serif"/>
          <w:b/>
          <w:i/>
          <w:caps w:val="false"/>
          <w:smallCaps w:val="false"/>
          <w:sz w:val="20"/>
        </w:rPr>
        <w:t>Independent Director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Mr. Shum has served as a member of our Board since March 2022. Since October 2019, Mr. Shum has served as the Chief Executive Officer and, since October 2017, as a member of the board of directors, of INVO Fertility, Inc. (Nasdaq: IVF),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GEDC).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this Proposal No. 1, you may vote FOR all director nominees, WITHHOLD your vote as to all director nominees, or FOR all director nominees except those specific nominees from whom you WITHHOLD your vote. The five director nominees receiving the most FOR votes will be elected. A properly executed proxy marked WITHHOLD with respect to the election of one or more director nominees will not be voted with respect to the director or directors indicated. This proposal is considered a “non-routine” matter. A bank, broker, dealer, or other nominee may not vote without instructions on this matter, so there may be broker non-votes in connection with this proposal. Broker non-votes will not count as votes cast on this proposal, and will have no effect on the outcome of the vote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EACH OF THE FIVE DIRECTOR NOMINEES NAMED ABOVE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ELECTION OF EACH OF THE DIRECTOR NOMINEES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008"/>
      <w:bookmarkEnd w:id="27"/>
      <w:r>
        <w:rPr>
          <w:rFonts w:ascii="Times New Roman;Times;Serif" w:hAnsi="Times New Roman;Times;Serif"/>
          <w:b/>
          <w:i w:val="false"/>
          <w:caps w:val="false"/>
          <w:smallCaps w:val="false"/>
          <w:sz w:val="20"/>
        </w:rPr>
        <w:t xml:space="preserve">PROPOSAL NO. 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RATIFY THE APPOINTMENT OF M&amp;K CPAS, PLLC AS OUR INDEPENDENT REGISTERED PUBLIC ACCOUNTING FIRM FOR THE YEAR ENDING DECEMBER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M&amp;K CPAS, PLLC (“M&amp;K”) as our independent registered public accounting firm for the year ending December 31, 2026, and our Board has directed that management submit this selection for ratification by the stockholders at the Annual Meeting. M&amp;K served as our independent registered public accounting firm and audited our financial statements for the years ended December 31, 2025 and 2024. Our Audit Committee periodically considers whether there should be a rotation of our independent registered public accounting firm. The members of our Audit Committee believe that the continued retention of M&amp;K as our independent registered public accounting firm is in the best interests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ratification of the appointment of M&amp;K as our independent registered public accounting firm is not required. Our Board is submitting the selection of M&amp;K to the stockholders for ratification because we believe it is a matter of good corporate governance practice. If our stockholders fail to ratify the appointment, our Audit Committee will reconsider whether or not to retain M&amp;K, but still may retain them. Even if the appointment is ratified, our Audit Committee, in its discretion, may direct the selection of a different independent registered public accounting firm at any time during the year if our Audit Committee determines that such a change would be in our best interests and that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p>
      <w:pPr>
        <w:pStyle w:val="TextBody"/>
        <w:bidi w:val="0"/>
        <w:spacing w:before="0" w:after="0"/>
        <w:ind w:left="0" w:right="0" w:hanging="0"/>
        <w:jc w:val="both"/>
        <w:rPr>
          <w:caps w:val="false"/>
          <w:smallCaps w:val="false"/>
        </w:rPr>
      </w:pPr>
      <w:r>
        <w:rPr>
          <w:caps w:val="false"/>
          <w:smallCaps w:val="false"/>
        </w:rPr>
        <w:t> </w:t>
      </w:r>
    </w:p>
    <w:tbl>
      <w:tblPr>
        <w:tblW w:w="4718" w:type="dxa"/>
        <w:jc w:val="left"/>
        <w:tblInd w:w="0" w:type="dxa"/>
        <w:tblLayout w:type="fixed"/>
        <w:tblCellMar>
          <w:top w:w="0" w:type="dxa"/>
          <w:left w:w="0" w:type="dxa"/>
          <w:bottom w:w="0" w:type="dxa"/>
          <w:right w:w="0" w:type="dxa"/>
        </w:tblCellMar>
      </w:tblPr>
      <w:tblGrid>
        <w:gridCol w:w="1865"/>
        <w:gridCol w:w="60"/>
        <w:gridCol w:w="190"/>
        <w:gridCol w:w="1088"/>
        <w:gridCol w:w="81"/>
        <w:gridCol w:w="81"/>
        <w:gridCol w:w="190"/>
        <w:gridCol w:w="1088"/>
        <w:gridCol w:w="75"/>
      </w:tblGrid>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both"/>
              <w:rPr/>
            </w:pPr>
            <w:r>
              <w:rPr/>
              <w:t>Audit Fees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135,842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122,074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4,500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4,500</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b/>
              </w:rPr>
            </w:pPr>
            <w:r>
              <w:rPr>
                <w:b/>
              </w:rPr>
              <w:t>Total Fees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pPr>
            <w:r>
              <w:rPr/>
              <w:t>140,342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jc w:val="right"/>
              <w:rPr/>
            </w:pPr>
            <w:r>
              <w:rPr/>
              <w:t>122,074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include fees for assurance and related services that are reasonably related to the performance of the audit or review of our financial statements. There were no audit-related fees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include fees for tax compliance, tax advice, and tax planning. Tax fees for the years ended December 31, 2025 and 2024 are incurred for services rendered by M&amp;K.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fees for services rendered by M&amp;K incurred during the years ended December 31, 2025 and 2024 other than those disclosed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2 will be approved if the number of votes cast “FOR” the ratification of the appointment of M&amp;K as our independent registered public accounting firm exceeds the number of votes cast “AGAINST” the matter. Abstentions are not considered votes cast and will have no effect on the outcome of Proposal No. 2. This proposal is considered a “routine” matter. Because a bank, broker, dealer, or other nominee may generally vote without instructions on this proposal, we do not expect any broker non-votes in connection with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RATIFICATION OF THE APPOINTMENT OF M&amp;K AS OUR INDEPENDENT REGISTERED PUBLIC ACCOUNTING FIRM.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RATIFICATION UNLESS OTHERWISE SPECIFIED.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009"/>
      <w:bookmarkEnd w:id="28"/>
      <w:r>
        <w:rPr>
          <w:rFonts w:ascii="Times New Roman;Times;Serif" w:hAnsi="Times New Roman;Times;Serif"/>
          <w:b/>
          <w:i w:val="false"/>
          <w:caps w:val="false"/>
          <w:smallCaps w:val="false"/>
          <w:sz w:val="20"/>
        </w:rPr>
        <w:t>AUDIT COMMITTEE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independent registered public accounting firm is responsible for auditing the financial statements. The activities of our Audit Committee are in no way designed to supersede or to alter those traditional responsibilities. Our Audit Committee’s role does not provide any special assurances with regard to the Company’s financial statements, nor does it involve a professional evaluation of the quality of the audits performed by the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 of the Company’s financial statements for the year ended December 31, 2025, our Audit Committee met with representatives from M&amp;K, the Company’s independent registered public accounting firm, and the Company’s internal auditors. Our Audit Committee reviewed and discussed with M&amp;K and the Company’s internal auditors, the Company’s financial management and financial structure, as well as the matters relating to the audit required by the Public Company Accounting Oversight Board Auditing Standard (“PCAOB”) and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and M&amp;K also discussed M&amp;K’s independence. Our Audit Committee has received from M&amp;K the written disclosures and the letter regarding M&amp;K’s independence required by PCAOB Rule 3526.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Audit Committee reviewed and discussed with management the Company’s audited financial statements for the year ended December 31, 2025, as well as management’s assessment of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review and discussions described above, our Audit Committee recommended to our Board, and our Board approved, that the Company’s financial statements audited by M&amp;K, as well as management’s assessment of the Company’s internal controls over financial reporting be included in the Company’s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 Chair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Lefevre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M. Shum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010"/>
      <w:bookmarkEnd w:id="29"/>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 CERTIFICATE OF DESIGNATION FOR THE CREATION, DESIGNATION, AND ISSUANCE OF SERIES A-1 8%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approved and declared advisable, and is recommending that our stockholders approve, a proposed certificate of designation as an amendment to our Articles of Incorporation, in the form attached hereto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(the “Certificate of Designation”), for the creation, designation, and issuance of the Series A-1 Preferred Stock to fulfill our obligations under our previously announced Private Placement of Convertible Debentures and Warrants (the “Series A-1 Designation”). The Series A-1 Preferred Stock will consist of 9,000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21, 2026, we entered into the Securities Purchase Agreement with the Purchasers in connection with the Private Placement providing for the issuance and sale to the Purchasers of: (i) the Convertible Debentures in the aggregate principal amount of $9,000,000, which may become convertible into 9,000 shares of Series A-1 Preferred Stock, and (ii) the Warrants to purchase up to 2,117,219 shares of Common Stock. Subject to receiving stockholder approval of the Series A-1 Designation pursuant to this Proposal No. 3, receiving stockholder approval of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objectives in seeking approval of this Proposal No. 3 are to fulfill our obligations under the Private Placement and provide for the conversion of the Convertible Debentures as described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7 relating to the creation of “blank check” preferred stock is approved by our stockholders, the Series A-1 Preferred Stock will be created by our Board (without any further action of our stockholders) using a portion of the blank check preferred stock approved pursuant to that proposal regardless of whether our stockholders approve this Proposal No. 3. The creation of the blank check preferred stock, however, is not a condition to the creation of the Series A-1 8% Convertible Preferred Stock if our stockholders approve this Proposal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the Series A-1 Preferred Stock. The summary is not intended to be complete and should be read together with the Certificate of Designation, which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and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Series A-1 Preferred Stock ranks senior to all shares of Common Stock of the Company, as to dividends, distributions and payments upon the liquidation, dissolution and winding up of the Company, and will rank pari passu with any other series of preferred stock issued pursuant to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stated value of the Series A-1 Preferred Stock is $1,000 per share, subject to increase as described below (the “Stated Value”). Each share of Series A-1 Preferred Stock will be convertible, at any time and from time to time, from and after the original issue date (the “Original Issue Date”) at the option of the holder thereof, into that number of shares of Common Stock (subject to the Beneficial Ownership Limitation and the Exchange Cap, each as defined in Proposal No. 5) determined by dividing the Stated Value of such share of Series A-1 Preferred Stock by the applicable conversion price thereof. The initial conversion price for the Series A-1 Preferred Stock is $4.25, which is equal to 105% of the average of the daily volume weighted average prices for the five trading days prior to August 21, 2026, and is subject to adjustment as described in the Certificate of Designation, including in the event of dilutive issuances (subject to certain exceptions). There is no mandatory conversion, repurchase or redemption right by us with respect to the Series A-1 Preferred Stock, nor is there any restriction on the repurchase or redemption of the Series A-1 Preferred Stock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Subsequent Equity Sales</w:t>
      </w:r>
      <w:r>
        <w:rPr>
          <w:rFonts w:ascii="Times New Roman;Times;Serif" w:hAnsi="Times New Roman;Times;Serif"/>
          <w:b w:val="false"/>
          <w:i w:val="false"/>
          <w:caps w:val="false"/>
          <w:smallCaps w:val="false"/>
          <w:sz w:val="20"/>
        </w:rPr>
        <w:t xml:space="preserve">. Subject to certain exemptions, if we sell or grant any option to purchase, or sell or grant any right to reprice, or otherwise dispose of or issue, any Common Stock or Common Stock equivalents at an effective price per share that is lower than the then applicable conversion price of the Series A-1 Preferred Stock, then such conversion price will be reduced to equal the lower price of such dilutive issuance, but in no event lower than $0.72 (subject to adjustment for reverse and forward stock splits, recapitalizations, and similar transactions, the “Floor Price”). If we receive a conversion notice with respect to Series A-1 Preferred Stock when the applicable conversion price then in effect (without regard to the Floor Price) is lower than the Floor Price then in effect (such amount, the “Applicable Conversion Price”), then we shall, in our sole discretion, either (i) reduce the Floor Price to the Applicable Conversion Price and allow such conversion to be made at the Applicable Conversion Price, or (ii) issue a number of shares of Common Stock equal to the Stated Value of the Series A-1 Preferred Stock to be converted divided by the Floor Price (without adjusting to the Applicable Conversion Price) and either (A) pay the economic difference in cash or (B) add the economic difference to the Stated Value of the holder’s shares of Series A-1 Preferred Stock that remain unconverted following such conversion. For this purpose, the economic difference shall equal (X) the number of shares of Common Stock that would have been delivered upon conversion of the Stated Value of the Series A-1 Preferred Stock to be converted at the Applicable Conversion Price, minus (Y) the number of shares of Common Stock actually delivered upon conversion of the Stated Value of the Series A-1 Preferred Stock to be converted at the Floor Price, multiplied by (Z) the lower of (1) the daily volume weighted average price of the Common Stock on the conversion date, and (2) the Applicable Conversion Price. </w:t>
      </w:r>
      <w:r>
        <w:rPr>
          <w:rFonts w:ascii="Times New Roman;Times;Serif" w:hAnsi="Times New Roman;Times;Serif"/>
          <w:b w:val="false"/>
          <w:i w:val="false"/>
          <w:caps w:val="false"/>
          <w:smallCaps w:val="false"/>
          <w:sz w:val="20"/>
          <w:shd w:fill="FFFFFF" w:val="clear"/>
        </w:rPr>
        <w:t>This adjustment provision only applies to the Series A-1 Preferred Stock and will not apply to any series of preferred stock issued pursuant to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Series A-1 Preferred Stock bears cumulative dividends that accrue at a per annum rate of 8%, payable quarterly on January 1, April 1, July 1 and October 1, beginning on the first anniversary of the Original Issue Date and on each Conversion Date (as defined in the Certificate of Designation) thereafter, payable in cash, or at our option, in duly authorized, validly issued, fully paid and non-assessable registered shares of Common Stock, or a combination thereof, at a dividend conversion rate equal to the lesser of (a) $4.25, which is the initial Conversion Price, or (b) 90% of the arithmetic average of the three lowest daily volume weighted average prices during the five (5) trading days prior to the applicable dividend payment date, provided that the dividend conversion rate shall not be less than the Floor Price. Payment of dividends in shares of Common Stock is subject to satisfaction of certain equity conditions as described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Consent Rights</w:t>
      </w:r>
      <w:r>
        <w:rPr>
          <w:rFonts w:ascii="Times New Roman;Times;Serif" w:hAnsi="Times New Roman;Times;Serif"/>
          <w:b w:val="false"/>
          <w:i w:val="false"/>
          <w:caps w:val="false"/>
          <w:smallCaps w:val="false"/>
          <w:sz w:val="20"/>
        </w:rPr>
        <w:t>. The Series A-1 Preferred Stock has no voting rights, except as provided in the Certificate of Designation or required by law. However, as long as at least 2,250 shares of Series A-1 Preferred Stock are outstanding, we may not, without the prior written consent of the holders of at least 50.1% in Stated Value of the then outstanding shares of Series A-1 Preferred Stock,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amend our charter documents, including, without limitation, our Articles of Incorporation and Bylaws, in any manner that materially and adversely affects any rights of the holders of Series A-1 Preferred Stock, including authorizing or creating any class of capital stock ranking as to dividends, redemption or distribution of assets upon a liquidation senior to, or pari passu with, the Series A-1 Preferred Stock; (d) repay, repurchase or offer to repay, repurchase or otherwise acquire more than a de minimis number of shares of our Common Stock, Common Stock equivalents or junior securities,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Series A-1 Preferred Stock is outstanding; (e) pay cash dividends or distributions on junior securities; (f)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(h) enter into any agreement with respect to any of the foregoing. In addition, as long as any shares of Series A-1 Preferred Stock are outstanding, we may not redeem, repurchase or otherwise acquire any junior securities, or pay or declare any dividend or make any distribution on any junior securities as long as any dividends due on the Series A-1 Preferred Stock remain unpaid. Except as otherwise provided in the Certificate of Designation, any of the powers, designations, preferences, rights and other terms of the Series A-1 Preferred Stock may be waived on behalf of all holders of Series A-1 Preferred Stock by the affirmative vote or written consent of the holders of at least 50.1% in Stated Value of the then outstanding shares of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Upon any liquidation, dissolution or winding-up of the Company, whether voluntary or involuntary (a “Liquidation”), the holders of Series A-1 Preferred Stock will be entitled to receive out of the assets, whether capital or surplus, of the Company an amount equal to the Stated Value, plus any accrued and unpaid dividends thereon and any other fees or liquidated damages then due and owing thereon under the applicable Certificate of Designation, for each share of Series A-1 Preferred Stock before any distribution or payment shall be made to the holders of any securities junior to the Series A-1 Preferred Stock and if the assets of the Company are insufficient to pay in full such amounts, then the entire assets to be distributed to such holders will be ratably distributed among such holders (together with the holders of any other series of preferred stock issued pursuant to the Securities Purchase Agreement)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Certificate of Designation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Series A-1 Preferred Stock will be entitled to receive upon conversion of the Series A-1 Preferred Stock the kind and amount of securities, cash or other property that the holders would have received had they converted the Series A-1 Preferred Stock immediately prior to such fundamental transaction. In connection with a fundamental transaction, we must cause the successor entity in such transaction to assume in writing all of our obligations under the Certificate of Designation. Such securities of the successor entity shall be evidenced by a written instrument substantially similar in form and substance to the Series A-1 Preferred Stock including, without limitation, which is convertible into a corresponding number of shares of capital stock equivalent to the shares acquirable and receivable upon conversion of the Series A-1 Preferred Stock (without regard to any limitations on the conversion of the Series A-1 Preferred Stock) prior to such fundamental transaction, and with a conversion price which applies the conversion price described in the Series A-1 Preferred Stock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Series A-1 Preferred Stock immediately prior to the occurrence or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Series A-1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will not automatically convert into Series A-1 Preferred Stock until we receive stockholder approval pursuant to Proposal No. 3 and Proposal No. 5, and the Certificate of Designation is filed with the Nevada Secretary of State. Alternatively, the Convertible Debentures will automatically convert into Series A-1 Preferred Stock if we receive stockholder approval for Proposal No. 5 and Proposal No. 7, in which case the Series A-1 Preferred Stock will be created by our Board (without any further action of our stockholders) using a portion of the blank check preferred stock approved pursuant to that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objectives in effectuating the Series A-1 Designation are to fulfill our obligations under the Private Placement and provide for the conversion of the Convertible Debentures. If our stockholders do not approve Proposal No. 3 and Proposal No. 5, the Convertible Debentures will remain outstanding, and we would be required to (i) carry the Convertible Debentures as debt on our balance sheet, (ii) pay cash interest on the Convertible Debentures in accordance with their terms, and (iii) repay the Convertible Debentures in cash at maturity. If we are required to carry the Convertible Debentures on our balance sheet it could make it more difficult for us to comply with the continued listing standards of the Nasdaq Stock Market as the liability will negatively impact our stockholders’ equity balance. If we are required to pay cash interest on the Convertible Debentures, or repay the Convertible Debentures in cash, it could have a material adverse effect on our financial condition and liquidity. Any of these factors could make it more difficult for us to obtain additional capital in the future, which would limit our ability to execute our business and strategic plans. Approval of this Proposal No. 3 by our stockholders will allow us to immediately satisfy our debt obligations under the Convertible Debentures while meeting our contractual obligations under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3 is not approved by our stockholders, we are obligated under the terms of the Securities Purchase Agreement to call an additional meeting of stockholders every four months thereafter until such stockholder approval is obtained. Holding additional stockholder meetings to satisfy this contractual obligation would result in us incurring substantial additional costs and expenses, require the devotion of significant time and attention by our management, and divert the attention of our Board and management from the pursuit of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Series A-1 Preferred Stock;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Subject to receiving stockholder approval of Proposal No. 3 and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r>
        <w:rPr>
          <w:rFonts w:ascii="Times New Roman;Times;Serif" w:hAnsi="Times New Roman;Times;Serif"/>
          <w:b w:val="false"/>
          <w:i w:val="false"/>
          <w:caps w:val="false"/>
          <w:smallCaps w:val="false"/>
          <w:sz w:val="20"/>
        </w:rPr>
        <w:t xml:space="preserve"> The issuance of the shares of Common Stock upon conversion of the Series A-1 Preferred Stock will not affect the rights of the holders of outstanding shares of Common Stock, but such issuance will have a substantial dilutive effect on the existing stockholders, including the voting power and economic rights of the existing stockholders. </w:t>
      </w:r>
      <w:r>
        <w:rPr>
          <w:rFonts w:ascii="Times New Roman;Times;Serif" w:hAnsi="Times New Roman;Times;Serif"/>
          <w:b w:val="false"/>
          <w:i w:val="false"/>
          <w:caps w:val="false"/>
          <w:smallCaps w:val="false"/>
          <w:sz w:val="20"/>
          <w:shd w:fill="FFFFFF" w:val="clear"/>
        </w:rPr>
        <w:t>T</w:t>
      </w:r>
      <w:r>
        <w:rPr>
          <w:rFonts w:ascii="Times New Roman;Times;Serif" w:hAnsi="Times New Roman;Times;Serif"/>
          <w:b w:val="false"/>
          <w:i w:val="false"/>
          <w:caps w:val="false"/>
          <w:smallCaps w:val="false"/>
          <w:sz w:val="20"/>
        </w:rPr>
        <w:t>he Series A-1 Preferred Stock contains anti-dilution provisions that may materially increase the number of shares of Common Stock that are issued by us in connection with the conversion of the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the Series A-1 Preferred Stock may cause a significant reduction in the percentage interests of our current stockholders in voting power, liquidation value, book and market value, and future earnings. Further, the issuance or resale of Common Stock issued pursuant to the Series A-1 Preferred Stock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Preferred Stock could, under certain circumstances, be construed as having an anti-takeover effect as a result of the large number of shares of Common Stock into which it may be converted and the protective provisions of the Series A-1 Preferred Stock. Although not designed or intended for such purposes, the effect of the Series A-1 Preferred Stock might be to render more difficult or to discourage a merger, tender offer, proxy contest or change in control of the Company and the removal of management, which stockholders might otherwise deem favorable. For example, conversions of Series A-1 Preferred Stock into a large number of shares of Common Stock might create voting impediments or frustrate an attempt by another person or entity to effect a takeover or otherwise gain control of the Company because the issuance of additional Common Stock would dilute the voting power of our Common Stock then outstanding and/or dilute the stock ownership of a person or entity seeking to effect a change in the composition of our Board, or contemplating a tender offer or other transaction involving the combination of the Company with another company. In addition, the Certificate of Designation requires that any successor entity assume all obligations of the Company under the Certificate of Designation and the other agreements entered into in connection with the Private Placement. The existence of the Series A-1 Preferred Stock may have the effect of discouraging takeover advances or prevent consummation of a takeover. However, our Board is not presently aware of any attempt, or contemplated attempt, to acquire control of the Company and the Series A-1 Designation is not part of any plan by our Board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Series A-1 Preferred Stock on Ability to Pay Dividends 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not in the past declared, nor does it have any plans to declare in the foreseeable future, any distributions of cash, dividends or other property, and we are not in arrears on any dividends, on our Common Stock. However, because the prior written consent of the holders of at least 50.1% in Stated Value of the then outstanding shares of Series A-1 Preferred Stock is required to pay cash dividends or distributions on junior securities, this could have the effect of preventing future distributions, if any, to our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Series A-1 Designation, and we will not independently provide stockholders with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Creation, Designation, and Issuance of the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the Certificate of Designation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without any further action of the stockholders. The Certificate of Designation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Narrow Lane, LP (“FNL”) holds a significant portion of the Convertible Debentures. Our former Chief Executive Officer and Chairman of the Board, Joseph Hammer, serves as a managing member of the general partner of FNL and may be deemed to share voting and dispositive power over the shares of Common Stock issuable upon conversion of the Series A-1 Preferred Stock and upon exercise of the Warrants.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3 will be approved if the affirmative vote of a majority of the voting power of the outstanding shares of our Common Stock approves this proposal. This proposal is considered a “non-routine” matter. A bank, broker, dealer, or other nominee may not vote without instructions on this matter, so there may be broker non-votes in connection with this proposal. Abstentions and broker non-votes will have the effect of a vote against Proposal No.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 CERTIFICATE OF DESIGNATION FOR THE CREATION, DESIGNATION, AND ISSUANCE OF SERIES A-1 8%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011"/>
      <w:bookmarkEnd w:id="30"/>
      <w:r>
        <w:rPr>
          <w:rFonts w:ascii="Times New Roman;Times;Serif" w:hAnsi="Times New Roman;Times;Serif"/>
          <w:b/>
          <w:i w:val="false"/>
          <w:caps w:val="false"/>
          <w:smallCaps w:val="false"/>
          <w:sz w:val="20"/>
        </w:rPr>
        <w:t xml:space="preserve">PROPOSAL NO. 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 FORM OF CERTIFICATE OF DESIGNATION FOR THE CREATION, DESIGNATION, AND ISSUANCE OF ONE OR MORE SERIES OF PREFERRED STOCK PURSUANT TO THE EXERCISE OF THE ADDITIONAL INVESTMENT RIGHT GRANTED UNDER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approved and declared advisable, and is recommending that our stockholders approve, a proposed form of certificate of designation, each as an amendment to our Articles of Incorporation, in the form attached hereto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for the creation, designation, and issuance of one or more series of our convertible preferred stock (the “Preferred Stock”), in each case with a different issuance date, number of authorized shares, and conversion price, at any time within 18 months following the date of the Securities Purchase Agreement, with the timing of the filing of each such certificate of designation, and the exact issuance date, number of authorized shares and conversion prices, to be determined in the sole discretion of our Board without any further action of the stockholders, in order to fulfill our obligations under the Private Placement (the “AIR Preferred Stock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the Company entered into the Securities Purchase Agreement </w:t>
      </w:r>
      <w:r>
        <w:rPr>
          <w:rFonts w:ascii="Times New Roman;Times;Serif" w:hAnsi="Times New Roman;Times;Serif"/>
          <w:b w:val="false"/>
          <w:i w:val="false"/>
          <w:caps w:val="false"/>
          <w:smallCaps w:val="false"/>
          <w:sz w:val="20"/>
          <w:shd w:fill="FFFFFF" w:val="clear"/>
        </w:rPr>
        <w:t>providing for the issuance and sale to the Purchasers of (i) Convertible Debentures in the aggregate principal amount of $9,000,000, and (ii) Warrants to purchase shares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subject to receiving stockholder approval of Proposal No. 4 and Proposal No. 5</w:t>
      </w:r>
      <w:r>
        <w:rPr>
          <w:rFonts w:ascii="Times New Roman;Times;Serif" w:hAnsi="Times New Roman;Times;Serif"/>
          <w:b w:val="false"/>
          <w:i w:val="false"/>
          <w:caps w:val="false"/>
          <w:smallCaps w:val="false"/>
          <w:sz w:val="20"/>
          <w:shd w:fill="FFFFFF" w:val="clear"/>
        </w:rPr>
        <w:t>, and the filing of the applicable certificate of designation for each such series of AIR Preferred Stock with the Nevada Secretary of State</w:t>
      </w:r>
      <w:r>
        <w:rPr>
          <w:rFonts w:ascii="Times New Roman;Times;Serif" w:hAnsi="Times New Roman;Times;Serif"/>
          <w:b w:val="false"/>
          <w:i w:val="false"/>
          <w:caps w:val="false"/>
          <w:smallCaps w:val="false"/>
          <w:sz w:val="20"/>
        </w:rPr>
        <w:t>, the Purchasers may also elect to purchase additional shares of the Preferred Stock (the “AIR Preferred Stock”) with an aggregate stated value of up to $91,000,000, representing 91,000 additional shares of AIR Preferred Stock (the “Additional Investment Right”). At each additional closing of the sale of AIR Preferred Stock pursuant to an exercise of the Additional Investment Right, the AIR Preferred Stock will be issued in a separate series pursuant to a new certificate of designation for each such series filed by us with the Nevada Secretary of State, which shall have substantially similar terms to the Series A-1 Preferred Stock issuable upon conversion of the Convertible Debentures, but in each case with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objectives in seeking the approval of this Proposal No. 4 are to fulfill our obligations under the Securities Purchase Agreement and allow the Purchasers to exercise the Additional Investment Right to provide the capital we need to pursue our business plans and strategies as described in more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7 relating to the creation of “blank check” preferred stock is approved by our stockholders, each series of AIR Preferred Stock will be created by our Board (without any further action of our stockholders) using a portion of the blank check preferred stock approved regardless of whether our stockholders approve this Proposal No. 4. The creation of the blank check preferred stock, however, is not a condition to the creation of any such series of the AIR Preferred Stock if our stockholders approve this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the AIR Preferred Stock. The summary is not intended to be complete and should be read together with the form of proposed certificate of designation for each such series of AIR Preferred Stock, which is attached to this Proxy Statement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and incorporated herein by this reference, subject only to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The AIR Preferred Stock ranks senior to all shares of Common Stock of the Company, as to dividends, distributions and payments upon the liquidation, dissolution and winding up of the Company, and ranks pari passu with the Series A-1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stated value of the AIR Preferred Stock is $1,000 per share (the “Stated Value”). Each share of the AIR Preferred Stock will be convertible, at any time and from time to time, from and after the original issue date thereof at the option of the holder thereof, into that number of shares of Common Stock (subject to the Beneficial Ownership Limitation and the Exchange Cap) determined by dividing the Stated Value of such share of AIR Preferred Stock by the applicable conversion price thereof.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(3) lowest daily volume weighted average prices during the five (5) trading days prior to the date of exercise of the Additional Investment Right, provided in all cases that the conversion price of the AIR Preferred Stock shall not be less than the Floor Price, and in all cases the conversion price of the AIR Preferred Stock is subject to adjustment as described in the applicable certificate of designation such as in the event of a dilutive issuances, subject to certain exceptions. There is no mandatory conversion, repurchase or redemption right by us with respect to the AIR Preferred Stock, nor is there any restriction on the repurchase or redemption of the AIR Preferred Stock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Subsequent Equity Sales</w:t>
      </w:r>
      <w:r>
        <w:rPr>
          <w:rFonts w:ascii="Times New Roman;Times;Serif" w:hAnsi="Times New Roman;Times;Serif"/>
          <w:b w:val="false"/>
          <w:i w:val="false"/>
          <w:caps w:val="false"/>
          <w:smallCaps w:val="false"/>
          <w:sz w:val="20"/>
        </w:rPr>
        <w:t>. Subject to certain exemptions, if we sell or grant any option to purchase, or sell or grant any right to reprice, or otherwise dispose of or issue, any Common Stock or Common Stock equivalents at an effective price per share that is lower than the then applicable conversion price of the AIR Preferred Stock, then such applicable conversion price will be reduced to equal the lower price of such dilutive issuance, but in no event lower than the Floor Price. Issuances under the Additional Investment Right are not exempt from, and could trigger, this anti-dilution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AIR Preferred Stock bears cumulative dividends that accrue at a per annum rate of 8%, payable quarterly on January 1, April 1, July 1 and October 1, beginning on the first anniversary after the issuance date of the AIR Preferred Stock and on each Conversion Date (as defined in the applicable certificate of designation) thereafter, payable in cash, or at our option, in duly authorized, validly issued, fully paid and non-assessable registered shares of Common Stock, or a combination thereof, at a dividend conversion rate equal to the lesser of (x) the applicable Conversion Price, or (y) 90% of the arithmetic average of the three lowest daily volume weighted average prices during the five trading days prior to the applicable dividend payment date, provided that the dividend conversion rate shall not be less than the Floor Price. Payment of dividends in shares of Common Stock is subject to satisfaction of certain equity conditions as described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Consent Rights</w:t>
      </w:r>
      <w:r>
        <w:rPr>
          <w:rFonts w:ascii="Times New Roman;Times;Serif" w:hAnsi="Times New Roman;Times;Serif"/>
          <w:b w:val="false"/>
          <w:i w:val="false"/>
          <w:caps w:val="false"/>
          <w:smallCaps w:val="false"/>
          <w:sz w:val="20"/>
        </w:rPr>
        <w:t>. The AIR Preferred Stock has no voting rights, except as provided in the applicable certificate of designation or required by law. However, as long as at least 25% of shares of the applicable series of AIR Preferred Stock are outstanding, we may not, without the prior written consent of the holders of at least 50.1% in Stated Value of the then outstanding shares of applicable AIR Preferred Stock,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amend our charter documents, including, without limitation, our Articles of Incorporation and Bylaws, in any manner that materially and adversely affects any rights of the holders of the applicable AIR Preferred Stock, including authorizing or creating any class of capital stock ranking as to dividends, redemption or distribution of assets upon a liquidation senior to, or pari passu with, the applicable AIR Preferred Stock; (d) repay, repurchase or offer to repay, repurchase or otherwise acquire more than a de minimis number of shares of our Common Stock, Common Stock equivalents or junior securities,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applicable AIR Preferred Stock is outstanding; (e) pay cash dividends or distributions on junior securities; (f)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(h) enter into any agreement with respect to any of the foregoing. In addition, as long as any shares of the applicable AIR Preferred Stock are outstanding, we may not redeem, repurchase or otherwise acquire any junior securities, or pay or declare any dividend or make any distribution on any junior securities as long as any dividends due on the applicable AIR Preferred Stock remain unpaid. Except as otherwise provided in the applicable certificate of designation, any of the powers, designations, preferences, rights and other terms of the applicable AIR Preferred Stock may be waived on behalf of all holders of the applicable AIR Preferred Stock by the affirmative vote or written consent of the holders of at least 50.1% in Stated Value of the then outstanding shares of the applicable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Upon any Liquidation, the holders of the AIR Preferred Stock will be entitled to receive out of the assets, whether capital or surplus, of the Company an amount equal to the Stated Value, plus any accrued and unpaid dividends thereon and any other fees or liquidated damages then due and owing thereon under the applicable certificate of designation, for each share of the AIR Preferred Stock before any distribution or payment shall be made to the holders of any securities junior to the AIR Preferred Stock and if the assets of the Company are insufficient to pay in full such amounts, then the entire assets to be distributed to such holders will be ratably distributed among such holders (together with the holders of the Series A-1 Preferred Stock)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applicable certificate of designation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the applicable AIR Preferred Stock will be entitled to receive upon conversion of the applicable AIR Preferred Stock the kind and amount of securities, cash or other property that the holders would have received had they converted the applicable AIR Preferred Stock immediately prior to such fundamental transaction. In connection with a fundamental transaction, we must cause the successor entity in such transaction to assume in writing all of our obligations under the applicable Certificates of Designation. Such securities of the successor entity shall be evidenced by a written instrument substantially similar in form and substance to the AIR Preferred Stock, including, without limitation, which is convertible into a corresponding number of shares of capital stock equivalent to the shares acquirable and receivable upon conversion of the AIR Preferred Stock (without regard to any limitations on the conversion of the AIR Preferred Stock) prior to such fundamental transaction, and with a conversion price which applies the conversion price described in the AIR Preferred Stock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AIR Preferred Stock immediately prior to the occurrence or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AIR Preferred Stock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primary objectives in effectuating the AIR Preferred Stock Designation are to fulfill our obligations under the Private Placement and allow the Purchasers to exercise the Additional Investment Right to provide the capital we need to pursue our business plans and strategies. Obtaining stockholder approval of Proposal No. 4 </w:t>
      </w:r>
      <w:r>
        <w:rPr>
          <w:rFonts w:ascii="Times New Roman;Times;Serif" w:hAnsi="Times New Roman;Times;Serif"/>
          <w:b w:val="false"/>
          <w:i w:val="false"/>
          <w:caps w:val="false"/>
          <w:smallCaps w:val="false"/>
          <w:sz w:val="20"/>
          <w:shd w:fill="FFFFFF" w:val="clear"/>
        </w:rPr>
        <w:t xml:space="preserve">and Proposal No. 5, and the filing of the applicable certificate of designation for each series of AIR Preferred Stock with the Nevada Secretary of State, </w:t>
      </w:r>
      <w:r>
        <w:rPr>
          <w:rFonts w:ascii="Times New Roman;Times;Serif" w:hAnsi="Times New Roman;Times;Serif"/>
          <w:b w:val="false"/>
          <w:i w:val="false"/>
          <w:caps w:val="false"/>
          <w:smallCaps w:val="false"/>
          <w:sz w:val="20"/>
        </w:rPr>
        <w:t xml:space="preserve">are conditions to the right of the Purchasers to exercise the Additional Investment Right and to our ability to receive up to $91.0 million upon the exercise of such right. If the Purchasers are unable to exercise the Additional Investment Right, it could jeopardize our ability </w:t>
      </w:r>
      <w:r>
        <w:rPr>
          <w:rFonts w:ascii="Times New Roman;Times;Serif" w:hAnsi="Times New Roman;Times;Serif"/>
          <w:b w:val="false"/>
          <w:i w:val="false"/>
          <w:caps w:val="false"/>
          <w:smallCaps w:val="false"/>
          <w:sz w:val="20"/>
          <w:shd w:fill="FFFFFF" w:val="clear"/>
        </w:rPr>
        <w:t xml:space="preserve">to </w:t>
      </w:r>
      <w:r>
        <w:rPr>
          <w:rFonts w:ascii="Times New Roman;Times;Serif" w:hAnsi="Times New Roman;Times;Serif"/>
          <w:b w:val="false"/>
          <w:i w:val="false"/>
          <w:caps w:val="false"/>
          <w:smallCaps w:val="false"/>
          <w:sz w:val="20"/>
        </w:rPr>
        <w:t>raise capital, which would have a material adverse impact on our financial condition and liquidity, as well as our ability to execute our business plans and strategies. In particular, not having access to funds received upon exercise of the Additional Investment Right may prevent us from (i) pursuing our oil and gas exploration opportunity in Eastern Louisiana targeting a specific gas reservoir (the “AMI”), (ii) testing the formation within the AMI through lateral drilling, or (iii) extending leases and acquiring new leases covering acreage within the AMI. There is no assurance that the Purchasers will exercise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the AIR Preferred Stock;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Subject to receiving stockholder approval of </w:t>
      </w:r>
      <w:r>
        <w:rPr>
          <w:rFonts w:ascii="Times New Roman;Times;Serif" w:hAnsi="Times New Roman;Times;Serif"/>
          <w:b w:val="false"/>
          <w:i w:val="false"/>
          <w:caps w:val="false"/>
          <w:smallCaps w:val="false"/>
          <w:sz w:val="20"/>
        </w:rPr>
        <w:t xml:space="preserve">Proposal No. 4 </w:t>
      </w:r>
      <w:r>
        <w:rPr>
          <w:rFonts w:ascii="Times New Roman;Times;Serif" w:hAnsi="Times New Roman;Times;Serif"/>
          <w:b w:val="false"/>
          <w:i w:val="false"/>
          <w:caps w:val="false"/>
          <w:smallCaps w:val="false"/>
          <w:sz w:val="20"/>
          <w:shd w:fill="FFFFFF" w:val="clear"/>
        </w:rPr>
        <w:t>and Proposal No. 5, and the filing of the applicable certificate of designation for each such series of AIR Preferred Stock with the Nevada Secretary of State</w:t>
      </w:r>
      <w:r>
        <w:rPr>
          <w:rFonts w:ascii="Times New Roman;Times;Serif" w:hAnsi="Times New Roman;Times;Serif"/>
          <w:b w:val="false"/>
          <w:i w:val="false"/>
          <w:caps w:val="false"/>
          <w:smallCaps w:val="false"/>
          <w:sz w:val="20"/>
        </w:rPr>
        <w:t>, the Purchasers may exercise the Additional Investment Right and acquire the AIR Preferred Stock. T</w:t>
      </w:r>
      <w:r>
        <w:rPr>
          <w:rFonts w:ascii="Times New Roman;Times;Serif" w:hAnsi="Times New Roman;Times;Serif"/>
          <w:b w:val="false"/>
          <w:i w:val="false"/>
          <w:caps w:val="false"/>
          <w:smallCaps w:val="false"/>
          <w:sz w:val="20"/>
          <w:shd w:fill="FFFFFF" w:val="clear"/>
        </w:rPr>
        <w:t xml:space="preserve">he AIR Preferred Stock may subsequently be converted into shares of Common Stock on the terms set forth in the applicable certificate of designation. </w:t>
      </w:r>
      <w:r>
        <w:rPr>
          <w:rFonts w:ascii="Times New Roman;Times;Serif" w:hAnsi="Times New Roman;Times;Serif"/>
          <w:b w:val="false"/>
          <w:i w:val="false"/>
          <w:caps w:val="false"/>
          <w:smallCaps w:val="false"/>
          <w:sz w:val="20"/>
        </w:rPr>
        <w:t>The issuance of the shares of Common Stock upon the conversion of the AIR Preferred Stock will not affect the rights of the holders of outstanding shares of Common Stock, but such issuance will have a substantial dilutive effect on the existing stockholders, including the voting power and economic rights of the existing stockholders. The AIR Preferred Stock contains anti-dilution provisions that may materially increase the number of shares of Common Stock that are issued by us in connection with the conversion of the AIR Preferred Stock. In addition, issuances of AIR Preferred Stock upon exercise of the Additional Investment Right are not exempt from, and could trigger, anti-dilution protection under the Series A-1 Preferred Stock, AIR Preferred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the AIR Preferred Stock may cause a significant reduction in the percentage interests of our current stockholders in voting power, liquidation value, book and market value, and future earnings. Further, the issuance or resale of Common Stock issued pursuant to the AIR Preferred Stock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AIR Preferred Stock could, under certain circumstances, be construed as having an anti-takeover effect as a result of the large number of shares of Common Stock into which it may be converted and the protective provisions of the AIR Preferred Stock. Although not designed or intended for such purposes, the effect of the AIR Preferred Stock might be to render more difficult or to discourage a merger, tender offer, proxy contest or change in control of the Company and the removal of management, which stockholders might otherwise deem favorable. For example, conversions of AIR Preferred Stock into a large number of shares of Common Stock might create voting impediments or frustrate an attempt by another person or entity to effect a takeover or otherwise gain control of the Company because the issuance of additional Common Stock would dilute the voting power of our Common Stock then outstanding and/or dilute the stock ownership of a person or entity seeking to effect a change in the composition of our Board or contemplating a tender offer or other transaction involving the combination of the Company with another company. In addition, the applicable certificate of designation will require that any successor entity assume all obligations of the Company under the certificate of designation and the other agreements entered into in connection with the Private Placement. The existence of the AIR Preferred Stock may have the effect of discouraging takeover advances or prevent consummation of a takeover. However, our Board is not presently aware of any attempt, or contemplated attempt, to acquire control of the Company and the AIR Preferred Stock is not part of any plan by our Board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AIR Preferred Stock on Ability to Pay Dividends 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not in the past declared, nor does it have any plans to declare in the foreseeable future, any distributions of cash, dividends or other property, and we are not in arrears on any dividends, on our Common Stock. However, because the prior written consent of the holders of at least 50.1% in Stated Value of the then outstanding shares of AIR Preferred Stock is required to pay cash dividends or distributions on junior securities, this could have the effect of preventing future distributions, if any, to our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AIR Preferred Stock, and we will not independently provide stockholders with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Joseph Hammer, serves as a managing member of the general partner of FNL and may be deemed to share voting and dispositive power over the shares of Common Stock issuable upon conversion of the AIR Preferred Stock.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Creation, Designation, and Issuance of Each Series of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an applicable certificate of designation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on the date of each additional closing of the Additional Investment Right, without any further action of the stockholders. Such applicable certificate of designation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Reservation of Right to Abandon Any Particular Series of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approving this Proposal No. 4, stockholders also will be authorizing our Board to abandon one or more of the proposed certificates of designation at any time without further action by the stockholders before such certificate of designation is filed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in the event that the Additional Investment Right is not exercised in full prior to its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4 will be approved if the affirmative vote of a majority of the voting power of the outstanding shares of our Common Stock approves this proposal. This proposal is considered a “non-routine” matter. A bank, broker, dealer, or other nominee may not vote without instructions on this matter, so there may be broker non-votes in connection with this proposal. Abstentions and broker non-votes will have the effect of a vote against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 FORM OF CERTIFICATE OF DESIGNATION FOR THE CREATION, DESIGNATION, AND ISSUANCE OF ONE OR MORE SERIES OF PREFERRED STOCK PURSUANT TO THE EXERCISE OF THE ADDITIONAL INVESTMENT RIGHT GRANTED UNDER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012"/>
      <w:bookmarkEnd w:id="31"/>
      <w:r>
        <w:rPr>
          <w:rFonts w:ascii="Times New Roman;Times;Serif" w:hAnsi="Times New Roman;Times;Serif"/>
          <w:b/>
          <w:i w:val="false"/>
          <w:caps w:val="false"/>
          <w:smallCaps w:val="false"/>
          <w:sz w:val="20"/>
        </w:rPr>
        <w:t>PROPOSAL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FOR PURPOSES OF NASDAQ LISTING RULE 5635,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in accordance with Nasdaq Listing Rule 5635 for the issuance of more than 19.99% of our outstanding shares of Common Stock in connection with the Securities Purchase Agreement, including the shares issuable upon conversion of, or payment of dividends on, shares of the Series A-1 Preferred Stock and AIR Preferred Stock, and exercise of the Warrants, and any future adjustments of conversion prices or stated values, to the extent such conversion, exercise or issuance would result in the holders of such shares of Series A-1 Preferred Stock, AIR Preferred, Warrants or Common Stock, as applicable, beneficially owning securities representing more than 19.99% of our outstanding shares of Common Stock as of immediately prior to execution of the Securities Purchase Agreement (the “Exchange Cap”). Stockholder approval pursuant to Nasdaq Listing Rule 5635 is required to permit such issuances, conversions and exercises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we entered into the Securities Purchase Agreement with the Purchasers, whereby we agreed to issue and sell to the Purchasers (i) Convertible Debentures in the aggregate principal amount of $9,000,000, and (ii) the Warrants. </w:t>
      </w:r>
      <w:r>
        <w:rPr>
          <w:rFonts w:ascii="Times New Roman;Times;Serif" w:hAnsi="Times New Roman;Times;Serif"/>
          <w:b w:val="false"/>
          <w:i w:val="false"/>
          <w:caps w:val="false"/>
          <w:smallCaps w:val="false"/>
          <w:sz w:val="20"/>
          <w:shd w:fill="FFFFFF" w:val="clear"/>
        </w:rPr>
        <w:t>Subject to receiving stockholder approval pursuant to Proposal No. 3 and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subject to receiving stockholder approval pursuant to Proposal No. 4</w:t>
      </w:r>
      <w:r>
        <w:rPr>
          <w:rFonts w:ascii="Times New Roman;Times;Serif" w:hAnsi="Times New Roman;Times;Serif"/>
          <w:b w:val="false"/>
          <w:i w:val="false"/>
          <w:caps w:val="false"/>
          <w:smallCaps w:val="false"/>
          <w:sz w:val="20"/>
          <w:shd w:fill="FFFFFF" w:val="clear"/>
        </w:rPr>
        <w:t>, and Proposal No. 5, and the filing of the applicable certificate of designation with the Nevada Secretary of State</w:t>
      </w:r>
      <w:r>
        <w:rPr>
          <w:rFonts w:ascii="Times New Roman;Times;Serif" w:hAnsi="Times New Roman;Times;Serif"/>
          <w:b w:val="false"/>
          <w:i w:val="false"/>
          <w:caps w:val="false"/>
          <w:smallCaps w:val="false"/>
          <w:sz w:val="20"/>
        </w:rPr>
        <w:t>, the Purchasers may also elect to purchase the AIR Preferred Stock with an aggregate stated value of up to $91,000,000 representing 91,000 additional shares of AIR Preferred Stock. At each additional closing of the sale of AIR Preferred Stock pursuant to an exercise of the Additional Investment Right, the AIR Preferred Stock will be issued in a separate series pursuant to a new certificate of designation for each such series filed by us with the Nevada Secretary of State, which shall have substantially similar terms to the Series A-1 Preferred Stock issuable upon conversion of the Convertible Debentures, but in each case with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of designation and the Warrants each include provisions that prevent the Purchasers and their affiliates, until stockholder approval is obtained in accordance with applicable Nasdaq Listing Rules, from converting the shares of Preferred Stock or exercising their Warrants, as applicable, to the extent such action would result in the Purchasers receiving shares of Common Stock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we agreed to hold this Annual Meeting for the purpose of obtaining stockholder approval under Nasdaq rules of the issuance of shares of Common Stock pursuant to the Securities Purchase Agreement, including the shares issuable upon conversion of, or payment of dividends on, shares of the Series A-1 Preferred Stock and AIR Preferred Stock, and the exercise of the Warrants, in excess of the Exchange Cap. The certificates of designation and the Warrants also each include provisions that prevent the Purchasers and their affiliates from converting the shares of Series A-1 Preferred Stock and AIR Preferred Stock, or exercising their Warrants, as applicable, to the extent such action would result in the Purchasers and their affiliates beneficially owning shares of Common Stock in excess of 9.99% of our outstanding Common Stock at any given time (the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Preferred Stock and AIR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the Series A-1 Preferred Stock and AIR Preferred Stock. The summary is not intended to be complete and should be read together with (i) the Certificate of Designation of the Series A-1 Preferred Stock, which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and incorporated herein by this reference, and (ii) the form of proposed certificate of designation for each such series of AIR Preferred Stock, which is attached to this Proxy Statement as </w:t>
      </w:r>
      <w:r>
        <w:rPr>
          <w:rFonts w:ascii="Times New Roman;Times;Serif" w:hAnsi="Times New Roman;Times;Serif"/>
          <w:b w:val="false"/>
          <w:i w:val="false"/>
          <w:caps w:val="false"/>
          <w:smallCaps w:val="false"/>
          <w:sz w:val="20"/>
          <w:u w:val="single"/>
        </w:rPr>
        <w:t>Appendix B</w:t>
      </w:r>
      <w:r>
        <w:rPr>
          <w:rFonts w:ascii="Times New Roman;Times;Serif" w:hAnsi="Times New Roman;Times;Serif"/>
          <w:b w:val="false"/>
          <w:i w:val="false"/>
          <w:caps w:val="false"/>
          <w:smallCaps w:val="false"/>
          <w:sz w:val="20"/>
        </w:rPr>
        <w:t xml:space="preserve"> and incorporated herein by this reference, subject only to a different issuance date, number of authorized shares, and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Ranking</w:t>
      </w:r>
      <w:r>
        <w:rPr>
          <w:rFonts w:ascii="Times New Roman;Times;Serif" w:hAnsi="Times New Roman;Times;Serif"/>
          <w:b w:val="false"/>
          <w:i w:val="false"/>
          <w:caps w:val="false"/>
          <w:smallCaps w:val="false"/>
          <w:sz w:val="20"/>
        </w:rPr>
        <w:t>. The Series A-1 Preferred Stock and AIR Preferred Stock ranks senior to all shares of Common Stock of the Company, as to dividends, distributions and payments upon the liquidation, dissolution and winding up of the Company. The Series A-1 Preferred Stock and AIR Preferred Stock rank pari passu with each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The stated value of the Series A-1 Preferred Stock is $1,000 per share, subject to increase as described below, and the stated value of the AIR Preferred Stock is $1,000 per share (as applicable, the “Stated Value”). Each share of Series A-1 Preferred Stock and AIR Preferred Stock will be convertible, at any time and from time to time, from and after the applicable original issue date thereof at the option of the holder thereof, into that number of shares of Common Stock (subject to the Beneficial Ownership Limitation and the Exchange Cap) determined by dividing the Stated Value of such share of Series A-1 Preferred Stock and AIR Preferred Stock, as applicable, by the applicable conversion price thereof. The initial conversion price for the Series A-1 Preferred Stock is $4.25, which is equal to 105% of the average of the daily volume weighted average prices for the five (5) trading days prior to August 21, 2026, and is subject to adjustment as described in the applicable Certificate of Designation, including in the event of dilutive issuances (subject to certain exceptions).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(3) lowest daily volume weighted average prices during the five (5) trading days prior to the date of exercise of the Additional Investment Right, provided in all cases that the conversion price of the AIR Preferred Stock shall not be less than the Floor Price, and in all cases the conversion price of the AIR Preferred Stock is subject to adjustment as described in the applicable certificate of designation, including in the event of dilutive issuances (subject to certain exceptions). There is no mandatory conversion, repurchase or redemption right by us with respect to the Series A-1 Preferred Stock and AIR Preferred Stock, nor is there any restriction on the repurchase or redemption of the Series A-1 Preferred Stock and AIR Preferred Stock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Subsequent Equity Sales</w:t>
      </w:r>
      <w:r>
        <w:rPr>
          <w:rFonts w:ascii="Times New Roman;Times;Serif" w:hAnsi="Times New Roman;Times;Serif"/>
          <w:b w:val="false"/>
          <w:i w:val="false"/>
          <w:caps w:val="false"/>
          <w:smallCaps w:val="false"/>
          <w:sz w:val="20"/>
        </w:rPr>
        <w:t xml:space="preserve">. Subject to certain exemptions, if we sell or grant any option to purchase, or sell or grant any right to reprice, or otherwise dispose of or issue, any Common Stock or Common Stock equivalents at an effective price per share that is lower than the then applicable conversion price of the Series A-1 Preferred Stock or AIR Preferred Stock, as applicable, then the applicable conversion price will be reduced to equal the lower price of such dilutive issuance (but in no event lower than the Floor Price). Issuances under the Additional Investment Right are not exempt from, and could trigger, this anti-dilution protection. If we receive a conversion notice with respect to Series A-1 Preferred Stock when the applicable conversion price then in effect (without regard to the Floor Price) is lower than the Floor Price then in effect (such amount, the “Applicable Conversion Price”), then we shall, in our sole discretion, either (i) reduce the Floor Price to the Applicable Conversion Price and allow such conversion to be made at the Applicable Conversion Price, or (ii) issue a number of shares of Common Stock equal to the Stated Value of the Series A-1 Preferred Stock to be converted divided by the Floor Price (without adjusting to the Applicable Conversion Price) and either (A) pay the economic difference in cash or (B) add the economic difference to the Stated Value of the holder’s shares of Series A-1 Preferred Stock that remain unconverted following such conversion. For this purpose, the economic difference shall equal (X) the number of shares of Common Stock that would have been delivered upon conversion of the Stated Value of the Series A-1 Preferred Stock to be converted at the Applicable Conversion Price, minus (Y) the number of shares of Common Stock actually delivered upon conversion of the Stated Value of the Series A-1 Preferred Stock to be converted at the Floor Price, multiplied by (Z) the lower of (1) the daily volume weighted average price of the Common Stock on the conversion date, and (2) the Applicable Conversion Price. </w:t>
      </w:r>
      <w:r>
        <w:rPr>
          <w:rFonts w:ascii="Times New Roman;Times;Serif" w:hAnsi="Times New Roman;Times;Serif"/>
          <w:b w:val="false"/>
          <w:i w:val="false"/>
          <w:caps w:val="false"/>
          <w:smallCaps w:val="false"/>
          <w:sz w:val="20"/>
          <w:shd w:fill="FFFFFF" w:val="clear"/>
        </w:rPr>
        <w:t>This adjustment provision only applies to the Series A-1 Preferred Stock and will not apply to any AIR Preferred Stock issued upon exercise of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w:t>
      </w:r>
      <w:r>
        <w:rPr>
          <w:rFonts w:ascii="Times New Roman;Times;Serif" w:hAnsi="Times New Roman;Times;Serif"/>
          <w:b w:val="false"/>
          <w:i w:val="false"/>
          <w:caps w:val="false"/>
          <w:smallCaps w:val="false"/>
          <w:sz w:val="20"/>
        </w:rPr>
        <w:t>. The Series A-1 Preferred Stock and AIR Preferred Stock bear cumulative dividends that accrue at a per annum rate of 8%, payable quarterly on January 1, April 1, July 1 and October 1, beginning on the first anniversary after the original issuance date of the Series A-1 Preferred Stock and AIR Preferred Stock, as applicable, and on each Conversion Date (as defined in the applicable certificate of designation) thereafter, payable in cash, or at the Company’s option, in duly authorized, validly issued, fully paid and non-assessable registered shares of Common Stock, or a combination thereof, at a dividend conversion rate equal to the lesser of (a) the applicable Conversion Price, or (b) 90% of the arithmetic average of the three lowest daily volume weighted average prices during the five trading days prior to the applicable dividend payment date, provided that the dividend conversion rate shall not be less than the Floor Price. Payment of dividends in shares of Common Stock is subject to satisfaction of certain equity conditions as described in the applicable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Consent Rights</w:t>
      </w:r>
      <w:r>
        <w:rPr>
          <w:rFonts w:ascii="Times New Roman;Times;Serif" w:hAnsi="Times New Roman;Times;Serif"/>
          <w:b w:val="false"/>
          <w:i w:val="false"/>
          <w:caps w:val="false"/>
          <w:smallCaps w:val="false"/>
          <w:sz w:val="20"/>
        </w:rPr>
        <w:t>. The Series A-1 Preferred Stock and AIR Preferred Stock have no voting rights, except as provided in the applicable Certificate of Designation or required by law. However, as long as at least 2,250 shares of Series A-1 Preferred Stock are outstanding, and as long as at least 25% of the shares of the applicable AIR Preferred Stock are outstanding, we may not, without the prior written consent of the holders of at least 50.1% in Stated Value of the then outstanding shares of Series A-1 Preferred Stock or AIR Preferred Stock, as applicable,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amend our charter documents, including, without limitation, our Articles of Incorporation and Bylaws, in any manner that materially and adversely affects any rights of the holders of Series A-1 Preferred Stock or AIR Preferred Stock, as applicable, including authorizing or creating any class of capital stock ranking as to dividends, redemption or distribution of assets upon a liquidation senior to, or pari passu with, the Series A-1 Preferred Stock or AIR Preferred Stock, as applicable; (d) repay, repurchase or offer to repay, repurchase or otherwise acquire more than a de minimis number of shares of our Common Stock, Common Stock equivalents or junior securities,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Series A-1 Preferred Stock or AIR Preferred Stock, as applicable, is outstanding; (e) pay cash dividends or distributions on junior securities; (f)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(h) enter into any agreement with respect to any of the foregoing. In addition, as long as any shares of Series A-1 Preferred Stock or AIR Preferred Stock are outstanding, we may not redeem, repurchase or otherwise acquire any junior securities, or pay or declare any dividend or make any distribution on any junior securities as long as any dividends due on the Series A-1 Preferred Stock or AIR Preferred Stock remain unpaid. Except as otherwise provided in the applicable Certificate of Designation, any of the powers, designations, preferences, rights and other terms of the Series A-1 Preferred Stock or AIR Preferred Stock may be waived on behalf of all holders of Series A-1 Preferred Stock or AIR Preferred Stock by the affirmative vote or written consent of the holders of at least 50.1% in Stated Value of the then outstanding shares of Series A-1 Preferred Stock or AIR Preferred Stock,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Upon any Liquidation, the holders of Series A-1 Preferred Stock and AIR Preferred Stock, as applicable, will be entitled to receive out of the assets, whether capital or surplus, of the Company an amount equal to the Stated Value, plus any accrued and unpaid dividends thereon and any other fees or liquidated damages then due and owing thereon under the applicable Certificate of Designation, for each share of Series A-1 Preferred Stock and AIR Preferred Stock, as applicable, before any distribution or payment shall be made to the holders of any securities junior to the Series A-1 Preferred Stock and AIR Preferred Stock, as applicable, and if the assets of the Company are insufficient to pay in full such amounts, then the entire assets to be distributed to such holders will be ratably distributed among such holders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applicable Certificate of Designation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Series A-1 Preferred Stock and AIR Preferred Stock, as applicable, will be entitled to receive upon conversion of the Series A-1 Preferred Stock and AIR Preferred Stock, as applicable, the kind and amount of securities, cash or other property that the holders would have received had they converted the Series A-1 Preferred Stock and AIR Preferred Stock, as applicable, immediately prior to such fundamental transaction. In connection with a fundamental transaction, we must cause the successor entity in such transaction to assume in writing all of our obligations under the applicable Certificates of Designation. Such securities of the successor entity shall be evidenced by a written instrument substantially similar in form and substance to the Series A-1 Preferred Stock and AIR Preferred Stock, as applicable, including, without limitation, which is convertible into a corresponding number of shares of capital stock equivalent to the shares acquirable and receivable upon conversion of the Series A-1 Preferred Stock and AIR Preferred Stock, as applicable (without regard to any limitations on the conversion of the Series A-1 Preferred Stock and AIR Preferred Stock, as applicable) prior to such fundamental transaction, and with a conversion price which applies the conversion price described in the Series A-1 Preferred Stock and AIR Preferred Stock, as applicable,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Series A-1 Preferred Stock and AIR Preferred Stock, as applicable, immediately prior to the occurrence or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we agreed to issue to each Purchaser a Warrant to purchase shares of Common Stock, equal to 100% of the shares of Common Stock issuable upon conversion of the shares of the Series A-1 Preferred Stock to be issued to such Purchaser upon conversion of the Convertible Debentures. The Warrants are exercisable for an aggregate of up to 2,117,219 shares of Common Stock. No additional Warrants shall be issued in connection with the exercise of the Additional Investment Right.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initial exercise price per share of $4.25, which is equal to the initial conversion price of the Series A-1 Preferred Stock (the “Exercise Price”). The Exercise Price is subject to adjustment on the same terms set forth in the Certificate of Designation, including in the event of dilutive issuances (subject to certain exceptions). The Warrants will be exercisable, subject to the Beneficial Ownership Limitation and the Issuable Maximum, immediately upon issuance, and will have a term of exercise equal to five (5) years.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registration statement under the Securities Act registering the resale of the shares of Common Stock underlying the Warrants is not effective, the holder may elect to exercise the Warrants through a cashless exercise, in which case the holder would receive upon such exercise the net number of shares of Common Stock determined according to the formula set forth in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Securities Purchase Agreement, we entered into a registration rights agreement with the Purchasers (the “Registration Rights Agreement”), pursuant to which we agreed to file (i) a resale registration statement with respect to the public resale of the Common Stock issuable upon conversion of the Series A-1 Preferred Stock and upon exercise of the Warrants not later than 20 days after the date stockholders approve this Proposal No. 5 and to use commercially reasonable efforts to cause such registration statement to become effective no later than 45 days after the date stockholders approve this Proposal No. 5 (or 75 days in the event of a “full review” by the SEC), and (ii) a resale registration statement with respect to the public resale of the Common Stock issuable upon conversion of the AIR Preferred Stock not later than the earliest practical date on which we are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Seeking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execution of the Securities Purchase Agreement; or (ii) the average closing price of the common stock for the five (5) trading days immediately preceding the execution of the Securities Purchase Agreement (the “Minimum Price”). The potential issuance of the shares of Common Stock underlying the Series A-1 Preferred Stock, AIR Preferred Stock and Warrants does not constitute a public offering under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of the Securities Purchase Agreement, we had 962,335 shares of Common Stock issued and outstanding. The potential issuance of shares of Common Stock underlying any Series A-1 Preferred Stock, AIR Preferred Stock and Warrants may constitute greater than 20% of the shares of Common Stock outstanding prior to giving effect to the Private Placement and, in the case of the potential issuance of the shares of Common Stock upon conversion of the AIR Preferred Stock or the potential issuance of shares of Common Stock in payment of dividends on any Series A-1 Preferred Stock or AIR Preferred Stock, such shares may be issued at prices below the Minimum Price. In addition, due to the anti-dilution and other adjustment provisions in the Series A-1 Preferred Stock and AIR Preferred Stock, the applicable Conversion Prices could be reduced, resulting in the issuance of additional shares of Common Stock based on conversion prices below the initial Conversion Prices,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under Nasdaq Rule 5635(d) for the sale, issuance or potential issuance by us of our Common Stock (or securities convertible into or exercisable for our Common Stock) in excess of 192,467 shares, which is 20% of the shares of Common Stock outstanding on the original date of execution of the Securities Purchase Agreement, including without limitation, the issuance of shares of Common Stock (i) upon conversion of the Series A-1 Preferred Stock, (ii) upon conversion of the AIR Preferred Stock, (iii) for the payment of dividends pursuant to the Series A-1 Preferred Stock and the AIR Preferred Stock (subject to meeting the equity conditions), (iv) upon exercise of the Warrants, and (v) in connection with the anti-dilution features of the Series A-1 Preferred Stock and AIR Preferred Stock since such provisions may further reduce the applicable Conversion Prices and increase the number of shares to be issued (including as a result of the issuance of shares upon exercise of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stockholder approval of Proposal No. 5 is a condition for us to be able to (i) repay the Convertible Debentures other than for cash (i.e., upon the automatic conversion of the Convertible Debentures into the Series A-1 Preferred Stock), (ii) receive up to $91.0 million pursuant upon exercise of the Additional Investment Right, and (iii) receive up to an additional $9.0 million upon exercise of the Warrants, if exercised for cash. If the Purchasers are unable to exercise the Additional Investment Right or the Warrant, it could jeopardize our ability to raise capital, which would have a material adverse impact on our financial condition and liquidity, as well as our ability to execute our business plans and strategies. In particular, it may prevent us from (i) pursuing our oil and gas exploration opportunity in Eastern Louisiana targeting a specific gas reservoir, (ii) testing the formation within the AMI through lateral drilling, or (iii) extending leases and acquiring new leases covering acreage within the AMI. There is no assurance that the Purchasers will exercise the Additional Investment Right or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whether the Purchasers will convert their Series A-1 Preferred Stock, exercise their Additional Investment Right or Warrants, or convert their AIR Preferred Stock. We are also unable to predict the Conversion Prices of the Series A-1 Preferred Stock and AIR Preferred Stock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Securities Purchase Agreement. However, we expect we will be required to issue shares to the Purchasers well in excess of the Exchange Cap, and we are seeking stockholder approval under this proposal to issue shares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Rules, we are not permitted to undertake a transaction that could result in a change in control of the Company without seeking and obtaining separate stockholder approval. We are not required to obtain stockholder approval for the Private Placement under Nasdaq Listing Rule 5635(b) because, among other reasons, the Purchasers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not seeking the approval of our stockholders to authorize our execution of the Securities Purchase Agreement, or consummation of the Private Placement, as the Securities Purchase Agreement has already been executed, the Private Placement has already been completed, and the Convertible Debentures and Warrants have already been issued. We are only asking for approval to issue shares of Common Stock as contemplated by the Securities Purchase Agreement, to the extent such issuance would exceed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if Stockholder Approval Is Not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Proposal No. 3, Proposal No. 4 and Proposal No. 5, (i) the Convertible Debentures will not automatically convert into Series A-1 Preferred Stock, (ii) the Purchasers will not have the ability to exercise the Additional Investment Right or to acquire all or any portion of the shares of AIR Preferred Stock, (iii) the Series A-1 Preferred Stock and AIR Preferred Stock will not be convertible into shares of Common Stock, and (iv) we will not be able to pay dividends on the Series A-1 Preferred Stock and AIR Preferred Stock in shares of Common Stock. In addition, if our stockholders do not approve Proposal No. 5, the Purchasers will not have the ability to exercise the Warrants in excess of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Convertible Debentures will remain outstanding, and we would be required to (i) carry the Convertible Debentures as debt on our balance sheet, (ii) pay cash interest on the Convertible Debentures in accordance with their terms, and (iii) repay the Convertible Debentures in cash at maturity. If we are required to carry the Convertible Debentures on our balance sheet it could make it more difficult for us to comply with the continued listing standards of the Nasdaq Stock Market as the liability will negatively impact our stockholders’ equity balance. If we are required to pay cash interest on the Convertible Debentures, or repay the Convertible Debentures in cash, it could have a material adverse effect on our financial condition and liquidity. Any of these factors could make it more difficult for us to obtain additional capital in the future, which would limit our ability to execute our business and strategic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would not receive up to $91.0 million pursuant to the exercise of the Additional Investment Right or up to an additional $9.0 million upon the exercise of the Warrants, if exercised for cash. Loss of these potential funds could jeopardize our ability to raise capital, which would have a material adverse impact on our ability to execute our business plans and strategies. In particular, it may prevent us from (i) pursuing our oil and gas exploration opportunity in Eastern Louisiana targeting a specific gas reservoir, (ii) testing the formation within the AMI through lateral drilling, or (iii) extending leases and acquiring new leases covering acreage within the AMI. Our ability to successfully implement our business plans and ultimately generate value for our stockholders is dependent on our ability to preserve existing capital and maximize capital raising opportunities, including pursuant to the Private Placement. If we are unsuccessful in preserving existing capital and raising additional capital, we would be required to limit future investments in our oil and gas platform, which would negatively impact our future operating results. There is no assurance that the Purchasers will exercise the Warrants or the Additional Investment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this Proposal No. 5 is not approved, we are obligated under the terms of the Securities Purchase Agreement to call an additional meeting of stockholders every four months thereafter until such stockholder approval is obtained. Holding additional stockholder meetings to satisfy this contractual obligation would result in us incurring substantial additional costs and expenses, require the devotion of significant time and attention by our Board and management, and divert their focus from the pursuit of our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Stockholder Approval;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Proposal No. 3, Proposal No. 4 and Proposal No. 5 are approved, (i) the Convertible Debentures will automatically convert into Series A-1 Preferred Stock, (ii) the Purchasers will have the ability to acquire shares of AIR Preferred Stock by exercising the Additional Investment Right, (iii) all shares of Series A-1 Preferred Stock and AIR Preferred Stock to be held by the Purchasers will, at the election of the Purchasers, be convertible into shares of Common Stock, (iv) we will be able to pay dividends on the Series A-1 Preferred Stock and AIR Preferred Stock in shares of Common Stock (subject to meeting the equity conditions), and (v) the Purchasers will have the ability to exercise the Warrants, in each case without restriction by the Exchange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shares of Common Stock upon the conversion of, or payment of dividends on, the Series A-1 Preferred Stock and AIR Preferred Stock, and the exercise of the Warrants, will not affect the rights of the holders of outstanding shares of Common Stock, but such issuances will have a substantial dilutive effect on the existing stockholders, including the voting power and economic rights of the existing stockholders. The Series A-1 Preferred Stock and AIR Preferred Stock contain anti-dilution provisions that may materially increase the number of shares of Common Stock that are issued by us in connection with the conversion of the Series A-1 Preferred Stock and AIR Preferred Stock. Issuances under the Additional Investment Right are not exempt from, and could trigger, anti-dilution protection under the Series A-1 Preferred Stock, AIR Preferred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the conversion of or payment of dividends on the Series A-1 Preferred Stock and AIR Preferred Stock, and the exercise of the Warrants, may cause a significant reduction in the percentage interests of our current stockholders in voting power, liquidation value, book and market value, and future earnings. Further, the issuance or resale of Common Stock issued pursuant to the Series A-1 Preferred Stock, AIR Preferred Stock and Warrants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Proposal No. 5 is qualified in its entirety by reference to the full text of the Securities Purchase Agreement, Form of Convertible Debenture, Form of Certificate of Designation, Form of Warrant and Registration Rights Agreement filed as Exhibits 10.1, 4.1, 3.1, 4.2 and 10.2, respectively, to our Current Report on Form 8-K that we filed with the SEC on August 24, 2026. Stockholders are urged to carefully read these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Joseph Hammer, serves as a managing member of the general partner of FNL and may be deemed to share voting and dispositive power over the shares of Common Stock issuable upon conversion of the Series A-1 Preferred Stock and AIR Preferred Stock, and upon exercise of the Warrants.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5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Proposal No.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APPROVAL, FOR PURPOSES OF NASDAQ LISTING RULE 5635, OF THE ISSUANCE OF MORE THAN 19.99% OF OUR OUTSTANDING SHARES OF COMMON STOCK ISSUABLE UPON CONVERSION OF, OR PAYMENT OF DIVIDENDS ON, SHARES OF SERIES A-1 PREFERRED STOCK AND AIR PREFERRED STOCK, AND EXERCISE OF WARRANTS, AS CONTEMPLATED BY THE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013"/>
      <w:bookmarkEnd w:id="32"/>
      <w:r>
        <w:rPr>
          <w:rFonts w:ascii="Times New Roman;Times;Serif" w:hAnsi="Times New Roman;Times;Serif"/>
          <w:b/>
          <w:i w:val="false"/>
          <w:caps w:val="false"/>
          <w:smallCaps w:val="false"/>
          <w:sz w:val="20"/>
        </w:rPr>
        <w:t>PROPOSAL NO.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and declared advisable, and is recommending that our stockholders approve, an amendment to our Articles of Incorporation to increase the number of authorized shares of our capital stock, par value $0.001 per share, from 36,666,666 to 220,000,000 and to increase the number of authorized shares of our Common Stock from 16,666,666 to 200,000,000, while maintaining the number of authorized shares of our Preferred Stock at 20,000,000.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seeking approval for the increase in authorized shares are to allow us to fulfill our obligations under the Private Placement and provide us greater flexibility for raising additional capital, including pursuant to the Securities Purchase Agreement, and planning for future corporate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proposed amendment to our Articles of Incorporation to increase the authorized shares of capital stock and Common Stock is attached to this Proxy Statement as </w:t>
      </w:r>
      <w:r>
        <w:rPr>
          <w:rFonts w:ascii="Times New Roman;Times;Serif" w:hAnsi="Times New Roman;Times;Serif"/>
          <w:b w:val="false"/>
          <w:i w:val="false"/>
          <w:caps w:val="false"/>
          <w:smallCaps w:val="false"/>
          <w:sz w:val="20"/>
          <w:u w:val="single"/>
        </w:rPr>
        <w:t>Appendix C</w:t>
      </w:r>
      <w:r>
        <w:rPr>
          <w:rFonts w:ascii="Times New Roman;Times;Serif" w:hAnsi="Times New Roman;Times;Serif"/>
          <w:b w:val="false"/>
          <w:i w:val="false"/>
          <w:caps w:val="false"/>
          <w:smallCaps w:val="false"/>
          <w:sz w:val="20"/>
        </w:rPr>
        <w:t xml:space="preserve"> and is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21, 2026, we entered into the Securities Purchase Agreement with the Purchasers, whereby we agreed to issue and sell to the Purchasers (i) Convertible Debentures in the aggregate principal amount of $9,000,000, and (ii) the Warrants. </w:t>
      </w:r>
      <w:r>
        <w:rPr>
          <w:rFonts w:ascii="Times New Roman;Times;Serif" w:hAnsi="Times New Roman;Times;Serif"/>
          <w:b w:val="false"/>
          <w:i w:val="false"/>
          <w:caps w:val="false"/>
          <w:smallCaps w:val="false"/>
          <w:sz w:val="20"/>
          <w:shd w:fill="FFFFFF" w:val="clear"/>
        </w:rPr>
        <w:t>Subject to the Company receiving stockholder approval pursuant to Proposal No. 3 and Proposal No. 5, and the filing of the Certificate of Designation with the Nevada Secretary of State, the Convertible Debentures will automatically convert into the Series A-1 Preferred Stock. The Series A-1 Preferred Stock may subsequently be converted into shares of Common Stock on the terms set forth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Based on the initial Conversion Price of the Series A-1 Preferred Stock, it will initially be convertible into 2,117,219 shares of Common Stock, which amount is subject to increase based on the anti-dilution provisions set forth in Certificate of Designation, and the </w:t>
      </w:r>
      <w:r>
        <w:rPr>
          <w:rFonts w:ascii="Times New Roman;Times;Serif" w:hAnsi="Times New Roman;Times;Serif"/>
          <w:b w:val="false"/>
          <w:i w:val="false"/>
          <w:caps w:val="false"/>
          <w:smallCaps w:val="false"/>
          <w:sz w:val="20"/>
        </w:rPr>
        <w:t>Warrants are exercisable for an aggregate of up to 2,117,219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subject to receiving stockholder approval of Proposal No. 4 and Proposal No. 5, the Purchasers may also elect to purchase the AIR Preferred Stock with an aggregate stated value of up to $91,000,000 representing 91,000 additional shares of AIR Preferred Stock. The initial conversion price of the first $10,000,000 in the aggregate of the AIR Preferred Stock will equal 150% of the initial conversion price of the Series A-1 Preferred Stock and, thereafter, the AIR Preferred Stock issuable pursuant to all subsequent exercises of the Additional Investment Right will have an initial conversion price equal to the lower of (x) the initial conversion price of the Series A-1 Preferred Stock, and (y) 90% of the arithmetic average of the three (3) lowest daily volume weighted average prices during the five (5) trading days prior to the date of exercise of the Additional Investment Right, provided in all cases that the conversion price of the AIR Preferred Stock shall not be less than the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accurately predict the total number of shares of Common Stock that may be issued pursuant to the Securities Purchase Agreement. However, the number of shares of Common Stock issuable pursuant to the Securities Purchase Agreement could be well in excess of the number of shares of Common Stock currently reserved for issuance under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Increasing 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of an increase in authorized shares to allow us to meet our obligations under the Private Placement and provide us greater flexibility in planning for future corporate needs, including, but not limited to, raising additional funds pursuant to the Private Placement and other financings, potential strategic transactions, including mergers, acquisitions, and business combinations, grants under equity compensation plans and other compensatory arrangements, as well as other general corporate transactions. Our Board believes that additional authorized shares will allow us to take timely advantage of market conditions and favorable financing and acquisition opportunities that may become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additional authorized shares will provide us flexibility to issue additional shares of Common Stock pursuant to the Securities Purchase Agreement, including without limitation, the issuance of shares of Common Stock (i) upon conversion of the Series A-1 Preferred Stock, (ii) upon exercise of the Warrants, (iii) upon conversion of any shares of AIR Preferred Stock issued pursuant to the exercise of any Additional Investment Right, and (iv) as a result of the dividend provisions of the Series A-1 Preferred Stock and the AIR Preferred Stock. If we do not obtain stockholder approval of this Proposal No. 6, we may have insufficient shares of Common Stock available for some or all of these purposes, which could prevent us from raising additional funds (e.g., by preventing exercise of the Additional Investment Right) or require us to pay dividends in cash, either of which would have an adverse impact on our financial condition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whether the Purchasers will convert their Series A-1 Preferred Stock, exercise their Additional Investment Right or Warrants, or convert their AIR Preferred Stock. We are also unable to predict the Conversion Prices of the Series A-1 Preferred Stock and AIR Preferred Stock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Securities Purchase Agreement. However, the number of shares of Common Stock we are required to issue could be well in excess of the number of shares of Common Stock currently reserved for issuance under our Articles of Incorporation, and we are seeking stockholder approval under this proposal to increase the number of authorized shares of capital stock and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Securities Purchase Agreement, we are required to have a sufficient number of authorized but unissued shares of common stock to permit us to issue all shares issuable under the Series A-1 Preferred Stock, the AIR Preferred Stock and the Warrants. Accordingly, obtaining stockholder approval of an increase in authorized shares will allow us to meet our contractual obligations under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in the other proposals set forth in this Proxy Statement, we have no current plan, commitment, arrangement, understanding or agreement regarding the issuance of additional shares of Common Stock that will result from the adoption of the proposed amendment to our Articles of Incorporation. Except as otherwise required by law or by regulation, the newly authorized shares of Common Stock will be available for issuance at the discretion of our Board (without further action by our stockholders) for various future corporate purposes, including those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Increasing Authorized Shares; Potential Anti-Takeover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adoption of the proposed amendment to our Articles of Incorporation would not have any immediate dilutive effect on the proportionate voting power or other rights of our existing stockholders, any future issuance of additional authorized shares of our Common Stock may, among other things, significantly dilute the earnings per share of our Common Stock and the equity and voting rights of those holding Common Stock at the time the additional shares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corporate purposes mentioned above, an increase in the number of authorized shares of our capital stock and Common Stock may make it more difficult to, or discourage an attempt to, obtain control of the Company by means of a takeover bid that our Board determines is not in our best interests and those of our stockholders, including, without limitation, by permitting the issuance of shares to purchasers who might oppose a hostile takeover bid or oppose any efforts to amend or repeal certain provisions of our Articles of Incorporation or Bylaws. However, our Board does not intend or view the proposed increase in the number of authorized shares of our capital stock and Common Stock as an anti-takeover measure and is not aware of any attempt or plan to obtain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newly authorized shares of our Common Stock will be identical to the shares of Common Stock now authorized and outstanding. The proposed amendment to our Articles of Incorporation will not affect the rights of current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Revised Statutes, stockholders are not entitled to any dissenter’s or appraisal rights with respect to the increase in authorized shares of capital stock and Common Stock, and we will not independently provide stockholders with any such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Joseph Hammer, serves as a managing member of the general partner of FNL and may be deemed to share voting and dispositive power over the shares of Common Stock issuable upon conversion of the Series A-1 Preferred Stock and AIR Preferred Stock, and upon exercise of the Warrants.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Amendment to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the amendment to our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without any further action of the stockholders. The amendment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amending our Articles of Incorporation pursuant to Proposal No. 6 and Proposal No. 7, and if our Board determines to effectuate such approved amendments at the same time, we will file the proposed amendments to our Articles of Incorporation as a single Amended and Restated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The approved amendments will become effective on the date of filing the Amended and Restated Articles of Incorporation with the Nevada Secretary of State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78.390, as amended effective May 30, 2025 by Assembly Bill No. 239, since this Proposal No. 6 relates solely to an increase in the number of authorized shares of capital stock and Common Stock, the holders of Common Stock, as the class or series affected by the amendment, must approve the proposed amendment. Therefore, in accordance with our Bylaws, Nevada law and the Nasdaq Listing Rules, if a quorum is represented at the Annual Meeting, this Proposal No. 6 will be approved if the number of votes cast “FOR” this proposal exceeds the number of votes cast “AGAINST” this proposal. Abstentions are not considered votes cast and will have no effect on the outcome of Proposal No. 6. This proposal is considered a “routine” matter. Because a bank, broker, dealer, or other nominee may generally vote without instructions on this proposal, we do not expect any broker non-votes in connection with this proposal.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AN AMENDMENT TO OUR ARTICLES OF INCORPORATION TO INCREASE THE NUMBER OF AUTHORIZED SHARES OF OUR CAPITAL STOCK FROM 36,666,666 SHARES TO 220,000,000 SHARES AND TO INCREASE THE NUMBER OF AUTHORIZED SHARES OF OUR COMMON STOCK FROM 16,666,666 SHARES TO 200,000,000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014"/>
      <w:bookmarkEnd w:id="33"/>
      <w:r>
        <w:rPr>
          <w:rFonts w:ascii="Times New Roman;Times;Serif" w:hAnsi="Times New Roman;Times;Serif"/>
          <w:b/>
          <w:i w:val="false"/>
          <w:caps w:val="false"/>
          <w:smallCaps w:val="false"/>
          <w:sz w:val="20"/>
        </w:rPr>
        <w:t>PROPOSAL NO.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 AMENDMENT TO OUR ARTICLES OF INCORPORATION TO CREATE BLANK CHECK PREFERRED STOCK CONSISTING OF 20,000,000 SHARES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currently provide for the issuance of up to 20,000,000 shares of a single class of preferred stock without establishing any voting powers, designations, preferences, limitations, restrictions or relative rights of the preferred stock. This class does not provide any flexibility to allow our Board to establish terms, from time to time, that may be attractive to investors, or that may work in the context of a particular transaction, including, without limitation, a financing or acquisition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and declared advisable, and is recommending that our stockholders approve, an amendment to our Articles of Incorporation to authorize a class of “blank check” preferred stock for up to 20,000,000 shares of preferred stock, having such terms, voting powers, designations, preferences, limitations, restrictions and relative rights as may be determined by our Board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 of seeking authorization of the blank check preferred stock is to provide us with increased flexibility to meet future capital requirements or acquisition terms by providing another type of security in addition 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full text of the proposed amendment to our Articles of Incorporation to authorize a class of blank check preferred stock is attached to this Proxy Statement as </w:t>
      </w:r>
      <w:r>
        <w:rPr>
          <w:rFonts w:ascii="Times New Roman;Times;Serif" w:hAnsi="Times New Roman;Times;Serif"/>
          <w:b w:val="false"/>
          <w:i w:val="false"/>
          <w:caps w:val="false"/>
          <w:smallCaps w:val="false"/>
          <w:sz w:val="20"/>
          <w:u w:val="single"/>
        </w:rPr>
        <w:t>Appendix D</w:t>
      </w:r>
      <w:r>
        <w:rPr>
          <w:rFonts w:ascii="Times New Roman;Times;Serif" w:hAnsi="Times New Roman;Times;Serif"/>
          <w:b w:val="false"/>
          <w:i w:val="false"/>
          <w:caps w:val="false"/>
          <w:smallCaps w:val="false"/>
          <w:sz w:val="20"/>
        </w:rPr>
        <w:t xml:space="preserve"> and is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“blank check” is often used to refer to preferred stock, the creation and issuance of which is authorized by the stockholders in advance, with the terms, voting powers, designations, preferences, limitations, restrictions and relative rights of the preferred stock subsequently approved by the board of directors from time to time. Therefore, once our stockholders have authorized the blank check preferred stock, our Board will be able to issue the shares in classes or series, on such terms as it determines in its discretion, without further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our Articles of Incorporation and any limitations prescribed by law or the Nasdaq Stock Market (or any other stock exchange on which our securities may be listed), our Board would be expressly authorized, at its discretion, to adopt resolutions to issue shares of preferred stock, to fix the number of shares and to change designations, preferences and relative, participating, optional or other special rights, qualifications, limitations or restrictions thereof, including, without limitation, dividend rights, dividend rates, terms of redemption, redemption prices, voting rights, conversion rights, and liquidation preferences of the shares constituting any series of preferred stock, in each case without any further action or vote by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preferred stock is convertible into Common Stock, upon conversion the existing holders of Common Stock would suffer dilution of their percentage ownership of the Company and may suffer economic dilution as a result of more Common Stock outstanding and trading in the market. Because the terms of any blank check preferred stock are not yet established, it is not possible to quantify the extent of any dilutive impact on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would be required to make any determination to issue shares of preferred stock based on its judgment that doing so would be in our best interests and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Authorizing Blank Check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 for small cap issuers such as the Company has become increasingly difficult to obtain. In light of this trend, our Board believes we should have a full range of capital financing alternatives available to us in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seek to expand our platform through acquisitions. The availability of preferred stock that may be tailored to suit a particular transaction or circumstance will be helpful to us as we negotiate the best terms for any acquisition we may pursue.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authorization of blank check preferred stock will provide us with increased flexibility to meet future capital requirements or acquisition terms by providing another type of security in addition to Common Stock, as it will allow us to issue preferred stock from time to time with such features as may be determined by our Board for any proper corporate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no present intent, plans, understandings, agreements or commitments to issue any preferred stock, except as provided in Proposal No. 3 and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7 is approved, then the Series A-1 Preferred Stock and each series of AIR Preferred Stock described in Proposal No. 3 and Proposal No. 4 will be created by our Board alone (without any further action of our stockholders) using a portion of the blank check preferred stock regardless of whether our stockholders approve Proposal No. 3 or Proposal No. 4. The creation of the blank check preferred stock, however, is not a condition to the creation of the Series A-1 Preferred Stock or any series of AIR Preferred Stock if our stockholders approve Proposal No. 3 or Proposal No. 4,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Blank Check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could, under certain circumstances, have the effect of delaying or preventing a change of control of the Company by increasing the number of outstanding shares entitled to vote and by increasing the number of votes required to approve a change of control of the Company. Shares of voting or convertible preferred stock could be issued, or rights to purchase such shares could be issued, to make it more difficult to obtain control of the Company by means of a tender offer, proxy contest, merger or otherwise. The ability of our Board to issue such additional shares of preferred stock, with the rights and preferences it deems advisable, could discourage potential acquirers, and could therefore deprive stockholders of benefits they might otherwise obtain from an attempt by a third-party to acquire ownership or control of the Company, such as selling their shares at a premium over market price. Moreover, the issuance of such additional shares to persons friendly to our Board could make it more difficult to remove incumbent directors from office in the event such change were to be deemed advisable by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Board is not presently aware of any attempt, or contemplated attempt, to acquire control of the Company and the request to authorize the blank check preferred stock is not being made as part of any plan by our Board to recommend or implement a series of anti-takeover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amendment to our Articles of Incorporation may have anti-takeover consequences, our Board believes that the benefits it would confer on the Company outweigh any disadvantages. In addition to the enhanced ability to secure capital and finance acquisitions, as discussed above, we would gain a degree of protection from hostile takeovers that might be contrary to our interests and those of our stockholders. Our Board believes it is in our best interests and those of our stockholders to encourage potential acquirers to negotiate directly with our Board rather than taking unilateral action. Only when empowered to negotiate on behalf of the Company can our Board have the best possible opportunity to secure the terms that best serve our interests and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FNL holds a significant portion of the Convertible Debentures. Our former Chief Executive Officer and Chairman of the Board, Joseph Hammer, serves as a managing member of the general partner of FNL and may be deemed to share voting and dispositive power over the shares of Common Stock issuable upon conversion of the Series A-1 Preferred Stock and AIR Preferred Stock. No other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Amendment to our Articles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we will file the amendment to our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xml:space="preserve">, without any further action of the stockholders. The amendment will become effective on the date of its filing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amending our Articles of Incorporation pursuant to Proposal No. 6 and Proposal No. 7, and if our Board determines to effectuate such approved amendments at the same time, we will file the proposed amendments to our Articles of Incorporation as a single Amended and Restated Articles of Incorporation with the </w:t>
      </w:r>
      <w:r>
        <w:rPr>
          <w:rFonts w:ascii="Times New Roman;Times;Serif" w:hAnsi="Times New Roman;Times;Serif"/>
          <w:b w:val="false"/>
          <w:i w:val="false"/>
          <w:caps w:val="false"/>
          <w:smallCaps w:val="false"/>
          <w:sz w:val="20"/>
          <w:shd w:fill="FFFFFF" w:val="clear"/>
        </w:rPr>
        <w:t>Nevada Secretary of State</w:t>
      </w:r>
      <w:r>
        <w:rPr>
          <w:rFonts w:ascii="Times New Roman;Times;Serif" w:hAnsi="Times New Roman;Times;Serif"/>
          <w:b w:val="false"/>
          <w:i w:val="false"/>
          <w:caps w:val="false"/>
          <w:smallCaps w:val="false"/>
          <w:sz w:val="20"/>
        </w:rPr>
        <w:t>. The approved amendments will become effective on the date of filing the Amended and Restated Articles of Incorporation with the Nevada Secretary of State unless a different time is specified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7 will be approved if the affirmative vote of a majority of the voting power of the outstanding shares of our Common Stock approves this proposal. This proposal is considered a “non-routine” matter. A bank, broker, dealer, or other nominee may not vote without instructions on this matter, so there may be broker non-votes in connection with this proposal. Abstentions and broker non-votes will have the effect of a vote against Proposal No.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APPROVING AN AMENDMENT TO OUR ARTICLES OF INCORPORATION TO CREATE BLANK CHECK PREFERRED STOCK CONSISTING OF 20,000,000 SHARES OF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015"/>
      <w:bookmarkEnd w:id="34"/>
      <w:r>
        <w:rPr>
          <w:rFonts w:ascii="Times New Roman;Times;Serif" w:hAnsi="Times New Roman;Times;Serif"/>
          <w:b/>
          <w:i w:val="false"/>
          <w:caps w:val="false"/>
          <w:smallCaps w:val="false"/>
          <w:sz w:val="20"/>
        </w:rPr>
        <w:t>PROPOSAL NO.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AN AMENDMENT TO OUR 2021 INCENTIVE AWARD PLAN TO INCREASE THE NUMBER OF SHARES OF COMMON STOCK AUTHORIZED FOR ISSUANCE UNDER THE PLAN BY 250,000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granting long-term incentives in the form of equity-based awards is crucial for promoting our long-term financial growth and stability, thereby enhancing stockholder value. We are asking our stockholders to approve an amendment to our 2021 Plan (the “Plan Amendment”) for the primary purpose of increasing the number of shares of Common Stock authorized for issuance under the plan by 250,000 shares. The Board unanimously approved the Plan Amendment, subject to stockholder approval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Amendment is approved, the total number of shares authorized for issuance under our 2021 Plan will increase by 250,000 shares from 113,485 shares to 363,485 shares. The Plan Amendment also amends the definition of “Overall Share Limit” in the 2021 Plan to simplify the provision and effect the 250,000 share increase and addresses some administrative matters. If the Plan Amendment is not approved, our 2021 Plan will remain in effect according to its current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Our 2021 Plan and Rationale For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Plan was adopted in connection with our initial public offering and has served as a key component of our ability to attract and retain top talent by aligning the interests of employees, directors, and consultants with those of our stockholders. Our 2021 Plan provides for the issuance of stock options, SARs, restricted stock, RSUs, performance bonus awards, performance stock units, dividend equivalents and other stock- or cash-based awards (each, an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we effected a 1-for-12 reverse stock split of our issued and outstanding Common Stock (the “Reverse Stock Split”). The Reverse Stock Split, which was effected to comply with Nasdaq’s minimum bid price requirement, substantially reduced the number of shares of Common Stock available for issuance under our 2021 Plan. All of the share amounts set forth in this Proposal No. 8 have been adjusted to reflect the impact of the Reverse Stock Split,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initially 537 shares of Common Stock reserved for issuance under our 2021 Plan, and stockholders approved an additional 208 and 62,500 shares of Common Stock for issuance under the 2021 Plan at our annual meetings of stockholders held in 2023 and 2025, respectively. In addition, under the “evergreen” provision of the 2021 Plan, the share reserve increases annually in an amount equal to 5% of the number of outstanding shares of Common Stock on December 31 of the immediately prior year. The number of shares of Common Stock available under our 2021 Plan will continue to increase in future years through January 31, 2031 pursuant to the evergreen provision, although the Reverse Stock Split significantly reduced our outstanding shares of Common Stock thereby reducing the impact of the evergreen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an aggregate of 113,485 shares of Common Stock reserved for issuance under the 2021 Plan. No shares remain available for issuance as new Awards under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growth trajectory and need to remain competitive in attracting and retaining key talent, this limited remaining share reserve is insufficient to support our long-term equity compensation strategy. Equity awards are a central component of our compensation philosophy, and the proposed increase will restore our ability to grant equity awards at meaningful levels. Our Board believes it is in the best interests of our stockholders to seek an increase in the number of shares of our Common Stock authorized for issuance under our 2021 Plan so we can continue to motivate and incentivize eligible recipients, fulfill the objectives of our compensation strategy, and align the interests of plan participants with those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our recommendation to increase the number of shares of our Common Stock authorized for issuance under our 2021 Plan by 250,000 shares, our Board considered a number of factors, including: (i) the number of outstanding shares of our Common Stock, which has been reduced considerably as a result of the Reverse Stock Split; (ii) the significant reduction in the trading price and increased volatility of our Common Stock over the prior several years, which has caused the large majority of our outstanding stock options to be “out-of-the-money” and the shares underlying our previously granted RSUs to substantially decline in value; (iii) the significant reduction in our market capitalization over the prior several years, which requires a larger number of shares (on a percentage basis relative to outstanding shares) to be reserved for issuance under the 2021 Plan to achieve the same aggregate value of equity awards; and (iv) the need to attract, retain and incentivize new and existing officers, directors and employees, particularly at a time when we are expanding our business platform and rebuilding our Board and management team to achieve our evolving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also took into account certain additional criteria relating to the potential impact of the Plan Amendment on our stockholders. For instance, our Board considered the amount of the proposed share increase relative to both the total number of shares of Common Stock outstanding, as well as our fully diluted shares of Common Stock, taking into account the potentially significant dilutive effect of the conversion of the Series A-1 Preferred Stock and AIR Preferred Stock, the payment of dividends on shares of Series A-1 Preferred Stock and AIR Preferred Stock, and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foregoing, our Board believes the additional share request to be appropriate and necessary to meet the objectives of our equity compensation program, and to be in the best interests of our stockholders. The changes proposed to the definition of “Overall Share Limit” in the 2021 Plan will implement the share increase while simplifying the provision and bringing it in line with standard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No. 8 is approved by our stockholders, we intend to register the shares of Common Stock available for issuance under our 2021 Plan on a registration statement on Form S-8 under the Securities Act of 1933, as amended (the “Securities Act”) as soon as reasonably practicable following receipt of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Terms of 2021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the terms of our 2021 Plan. The summary is not intended to be complete and should be read together with the 2021 Plan, which is attached to this Proxy Statement as </w:t>
      </w:r>
      <w:r>
        <w:rPr>
          <w:rFonts w:ascii="Times New Roman;Times;Serif" w:hAnsi="Times New Roman;Times;Serif"/>
          <w:b w:val="false"/>
          <w:i w:val="false"/>
          <w:caps w:val="false"/>
          <w:smallCaps w:val="false"/>
          <w:sz w:val="20"/>
          <w:u w:val="single"/>
        </w:rPr>
        <w:t>Appendix E</w:t>
      </w:r>
      <w:r>
        <w:rPr>
          <w:rFonts w:ascii="Times New Roman;Times;Serif" w:hAnsi="Times New Roman;Times;Serif"/>
          <w:b w:val="false"/>
          <w:i w:val="false"/>
          <w:caps w:val="false"/>
          <w:smallCaps w:val="false"/>
          <w:sz w:val="20"/>
        </w:rPr>
        <w:t xml:space="preserve"> and incorporated herein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Amendment is approved, it will result in an amendment to the definition of “Overall Share Limit” that will increase the total number of shares authorized for issuance under our 2021 Plan by 250,000 shares from 113,485 shares to 363,485 shares, while simplifying the provision. The proposed definition of “Overall Share Limit” is set forth in the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of our 2021 may impact the number of shares reserved for issuance: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the extent that an Award expires, lapses or is terminated, converted into an Award in respect of shares of another entity in connection with a spin-off or other similar event, exchanged for cash, surrendered, repurchased or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our 2021 Plan;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the extent shares are tendered or withheld to satisfy the grant, exercise price or tax withholding obligation with respect to any Award under our 2021 Plan, such tendered or withheld shares will be available for future grants under our 2021 Plan;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the extent shares subject to SARs are not issued in connection with the stock settlement of SARs on exercise thereof, such shares will be available for future grants under our 2021 Plan;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payment of dividend equivalents in cash in conjunction with any outstanding Awards will not be counted against the shares available for issuance under our 2021 Plan;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shares issued in assumption of, or in substitution for, any outstanding awards of any entity acquired in any form of combination by us or any of our future subsidiaries will not be counted against the shares available for issuance under our 2021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our 2021 Plan may be granted to individuals who are then our officers, employees or consultants or are the officers, employees or consultants of certain of our future subsidiaries. Such awards also may be granted to our directors. However, only our employees or employees of certain of our future subsidiaries may be granted ISOs. As of September 3, 2026, there are two officers, 15 non-officer employees, and five directors eligible for participation in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Plan is currently administered by our Compensation Committee unless our Board assumes authority for administration (the “Plan Administrator”). Our Board may delegate its powers to a committee, which, to the extent required to comply with Rule 16b-3 under the Exchange Act, is intended to be comprised of “non-employee directors” for purposes of the rule. Our 2021 Plan provides that our Board or Compensation Committee may delegate its authority to grant awards other than to individuals subject to Section 16 of the Exchange Act or to officers or directors to whom authority to grant awards has been delegated.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our 2021 Plan, the Plan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our 2021 Plan. The Plan Administrator is also authorized to adopt, amend or rescind rules relating to the administration of our 2021 Plan. Our Board may at any time remove our Compensation Committee as the administrator and revest in itself the authority to administer our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2021 Plan provides that the Plan Administrator may grant or issue stock options, SARs, restricted stock, RSUs, 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ISOs</w:t>
      </w:r>
      <w:r>
        <w:rPr>
          <w:rFonts w:ascii="Times New Roman;Times;Serif" w:hAnsi="Times New Roman;Times;Serif"/>
          <w:b w:val="false"/>
          <w:i w:val="false"/>
          <w:caps w:val="false"/>
          <w:smallCaps w:val="false"/>
          <w:sz w:val="20"/>
        </w:rPr>
        <w:t>. ISOs comply with the provisions of Section 422 of the Code and are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our 2021 Plan provides that the exercise price must be at least 110% of the fair market value of a share of Common Stock on the date of grant and the ISO must not be exercisable after a period of five years measured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Restricted Stock may be granted to any eligible individual and made subject to such restrictions as may be determined by the Plan 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stock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RSUs</w:t>
      </w:r>
      <w:r>
        <w:rPr>
          <w:rFonts w:ascii="Times New Roman;Times;Serif" w:hAnsi="Times New Roman;Times;Serif"/>
          <w:b w:val="false"/>
          <w:i w:val="false"/>
          <w:caps w:val="false"/>
          <w:smallCaps w:val="false"/>
          <w:sz w:val="20"/>
        </w:rPr>
        <w:t>. RSUs may be awarded to any eligible individual, typically without payment of consideration, but subject to vesting conditions based on continued employment or service or on performance criteria established by the Plan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SARs</w:t>
      </w:r>
      <w:r>
        <w:rPr>
          <w:rFonts w:ascii="Times New Roman;Times;Serif" w:hAnsi="Times New Roman;Times;Serif"/>
          <w:b w:val="false"/>
          <w:i w:val="false"/>
          <w:caps w:val="false"/>
          <w:smallCaps w:val="false"/>
          <w:sz w:val="20"/>
        </w:rPr>
        <w:t>. SARs may be granted in connection with stock options or other awards, or separately. SARs granted in connection with stock options or other awards typically will provide for payments to the holder based upon increases in the price of our Common Stock over a set exercise price. The exercise price of any SAR granted under our 2021 Plan must be at least 100% of the fair market value of a share of our Common Stock on the date of grant. SARs under our 2021 Plan will be settled in cash or shares of our Common Stock, or in a combination of both, at the election of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Bonus Awards and Performance Stock Units</w:t>
      </w:r>
      <w:r>
        <w:rPr>
          <w:rFonts w:ascii="Times New Roman;Times;Serif" w:hAnsi="Times New Roman;Times;Serif"/>
          <w:b w:val="false"/>
          <w:i w:val="false"/>
          <w:caps w:val="false"/>
          <w:smallCaps w:val="false"/>
          <w:sz w:val="20"/>
        </w:rPr>
        <w:t>. Performance Bonus Awards and Performance Stock Units are denominated in cash or shares/unit equivalents, respectively, and may be linked to one or more performance or other criteria as determined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or Cash-Based Awards</w:t>
      </w:r>
      <w:r>
        <w:rPr>
          <w:rFonts w:ascii="Times New Roman;Times;Serif" w:hAnsi="Times New Roman;Times;Serif"/>
          <w:b w:val="false"/>
          <w:i w:val="false"/>
          <w:caps w:val="false"/>
          <w:smallCaps w:val="false"/>
          <w:sz w:val="20"/>
        </w:rPr>
        <w:t>.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or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 Equivalents</w:t>
      </w:r>
      <w:r>
        <w:rPr>
          <w:rFonts w:ascii="Times New Roman;Times;Serif" w:hAnsi="Times New Roman;Times;Serif"/>
          <w:b w:val="false"/>
          <w:i w:val="false"/>
          <w:caps w:val="false"/>
          <w:smallCaps w:val="false"/>
          <w:sz w:val="20"/>
        </w:rPr>
        <w:t>. Dividend equivalents represent the right to receive the equivalent value of dividends paid on shares of our Common Stock and may be granted alone or in tandem with awards other than stock options or SARs. Dividend equivalents are converted to cash or shares by such formula and such time as determined by the Plan Administrator. In addition, dividend equivalents with respect to an award subject to vesting will either (i) to the extent permitted by applicable law, not be paid or credited or (ii) be accumulated and subject to vesting to the same extent as the related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Award may be granted as a performance award, meaning that the Award will be subject to vesting or payment based on the attainment of specified 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has broad discretion to take action under our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our 2021 Plan and outstanding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our 2021 Plan (other than any portion subject to performance-based vesting) will be subject to accelerated vesting such that 100% of such awards will become vested and exercisable or payable, as applicable. The Plan Administrator may also make appropriate adjustments to awards under our 2021 Plan and is authorized to provide for the acceleration, cash-out, termination, assumption, substitution or conversion of such awards in the event of a change in control or certain other unusual or nonrecurring events or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terminate, amend or modify our 2021 Plan, at any time and from time to time. 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stock option on the grant date and stock options may be granted in exchange for, or in connection with, the cancellation or surrender of stock options having a higher per share exercise price without receiving additional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ISOs may be granted pursuant to our 2021 Plan after the tenth anniversary of the effective date of our 2021 Plan, and no additional annual share increases to our 2021 Plan’s aggregate share limit will occur from and after such anniversary. Any award that is outstanding on the termination date of our 2021 Plan will remain in force according to the terms of our 2021 Plan and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as of the date of this Proxy Statement of the United States federal income tax consequences to us and participants in our 2021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ISOs</w:t>
      </w:r>
      <w:r>
        <w:rPr>
          <w:rFonts w:ascii="Times New Roman;Times;Serif" w:hAnsi="Times New Roman;Times;Serif"/>
          <w:b w:val="false"/>
          <w:i w:val="false"/>
          <w:caps w:val="false"/>
          <w:smallCaps w:val="false"/>
          <w:sz w:val="20"/>
        </w:rPr>
        <w:t>. A participant will realize no taxable income, and we will not be entitled to any related deduction, at the time any ISO is granted. If certain employment conditions are satisfied, then no taxable income will result upon the exercise of such option, and we will not be entitled to any deduction in connection with the exercise of such stock option. Upon disposition of the shares after expiration of the statutory holding periods, any gain realized by a participant will be taxed as long-term capital gain and any loss sustained will be long-term capital loss, and we will not be entitled to a deduction in respect to such disposition. While no ordinary taxable income is recognized at exercise (unless there is a “disqualifying disposition,” see below), the excess of the fair market value of the shares over the stock option exercise price is a preference item that is recognized for alternative minimum tax purposes. Except in the event of death, if shares acquired by a participant upon the exercise of an incentive stock option are disposed of by such participant before the expiration of the statutory holding periods (i.e., a “disqualifying disposition”), such participant will be considered to have realized as compensation taxed as ordinary income in the year of such disposition an amount, not exceeding the gain realized on such disposition, equal to the difference between the stock option exercise price and the fair market value of such shares on the date of exercise of such stock option. Generally, any gain realized on the disposition in excess of the amount treated as compensation or any loss realized on the disposition will constitute capital gain or loss, respectively. If a participant makes a “disqualifying disposition,” generally in the fiscal year of such “disqualifying disposition” we will be allowed a deduction for federal income tax purposes in an amount equal to the compensation realized by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Non-Qualified Stock Options</w:t>
      </w:r>
      <w:r>
        <w:rPr>
          <w:rFonts w:ascii="Times New Roman;Times;Serif" w:hAnsi="Times New Roman;Times;Serif"/>
          <w:b w:val="false"/>
          <w:i w:val="false"/>
          <w:caps w:val="false"/>
          <w:smallCaps w:val="false"/>
          <w:sz w:val="20"/>
        </w:rPr>
        <w:t>. A participant will realize no taxable income at the time a non-qualified stock option is granted under our 2021 Plan, but generally at the time such non-qualified stock option is exercised, the participant will realize ordinary income in an amount equal to the excess of the fair market value of the shares on the date of exercise over the stock option exercise price. Upon a disposition of such shares, the difference between the amount received and the fair market value on the date of exercise will generally be treated as a long-term or short-term capital gain or loss, depending on the holding period of the shares. We will generally be entitled to a deduction for federal income tax purposes at the same time and in the same amount as the participant is considered to have realized ordinary income in connection with the exercise of the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w:t>
      </w:r>
      <w:r>
        <w:rPr>
          <w:rFonts w:ascii="Times New Roman;Times;Serif" w:hAnsi="Times New Roman;Times;Serif"/>
          <w:b w:val="false"/>
          <w:i w:val="false"/>
          <w:caps w:val="false"/>
          <w:smallCaps w:val="false"/>
          <w:sz w:val="20"/>
        </w:rPr>
        <w:t>. A participant receiving restricted stock may be taxed in one of two ways: the participant (i) pays tax when the restrictions lapse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with respect to the shares as they become vested) or (ii) makes an election under Section 83(b) of the Code to pay tax in the year the grant is made with respect to all of the shares subject to the grant. At either time the value of the award for tax purposes is the excess of the fair market value of the shares at that time over the amount (if any) paid for the shares. This value is taxed as ordinary income and if granted to an employee, is subject to income tax withholding. We receive a tax deduction at the same time and for the same amount taxable to the participant. If a participant makes an election under Section 83(b) of the Code to be taxed at grant, then, when the restrictions lapse, there will be no further tax consequences attributable to the awarded stock until the recipient disposes of the stock, at which point any gain or loss will be short-term or long-term capital gain or loss, depending on the holding period of the stock prior to such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RSUs</w:t>
      </w:r>
      <w:r>
        <w:rPr>
          <w:rFonts w:ascii="Times New Roman;Times;Serif" w:hAnsi="Times New Roman;Times;Serif"/>
          <w:b w:val="false"/>
          <w:i w:val="false"/>
          <w:caps w:val="false"/>
          <w:smallCaps w:val="false"/>
          <w:sz w:val="20"/>
        </w:rPr>
        <w:t>. In general, no taxable income is realized upon the grant of an RSU (which can be settled in cash or our common stock). The participant will generally include in ordinary income the fair market value of the award of stock (or cash, if cash settled) at the time shares of stock (or cash, if cash settled) are delivered to the participant or at the time the RSU vests. We generally will be entitled to a tax deduction at the time and in the amount that the participant recognizes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SARs</w:t>
      </w:r>
      <w:r>
        <w:rPr>
          <w:rFonts w:ascii="Times New Roman;Times;Serif" w:hAnsi="Times New Roman;Times;Serif"/>
          <w:b w:val="false"/>
          <w:i w:val="false"/>
          <w:caps w:val="false"/>
          <w:smallCaps w:val="false"/>
          <w:sz w:val="20"/>
        </w:rPr>
        <w:t>. A grant of a SAR (which can be settled in cash or our Common Stock) has no federal income tax consequences at the time of grant. Upon the exercise of SARs, the value received is generally taxable to the recipient as ordinary income, and we generally will be entitled to a corresponding tax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Bonus Awards and Performance Stock Units</w:t>
      </w:r>
      <w:r>
        <w:rPr>
          <w:rFonts w:ascii="Times New Roman;Times;Serif" w:hAnsi="Times New Roman;Times;Serif"/>
          <w:b w:val="false"/>
          <w:i w:val="false"/>
          <w:caps w:val="false"/>
          <w:smallCaps w:val="false"/>
          <w:sz w:val="20"/>
        </w:rPr>
        <w:t>. The participant will not realize income when a performance award is granted (which can be settled in cash or our Common Stock),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or Cash-Based Awards</w:t>
      </w:r>
      <w:r>
        <w:rPr>
          <w:rFonts w:ascii="Times New Roman;Times;Serif" w:hAnsi="Times New Roman;Times;Serif"/>
          <w:b w:val="false"/>
          <w:i w:val="false"/>
          <w:caps w:val="false"/>
          <w:smallCaps w:val="false"/>
          <w:sz w:val="20"/>
        </w:rPr>
        <w:t>. The participant will not realize income when a stock bonus (which can be settled in cash or our Common Stock) is granted,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Withholding Tax Requirements</w:t>
      </w:r>
      <w:r>
        <w:rPr>
          <w:rFonts w:ascii="Times New Roman;Times;Serif" w:hAnsi="Times New Roman;Times;Serif"/>
          <w:b w:val="false"/>
          <w:i w:val="false"/>
          <w:caps w:val="false"/>
          <w:smallCaps w:val="false"/>
          <w:sz w:val="20"/>
        </w:rPr>
        <w:t>. Whenever shares are to be issued in satisfaction of Awards granted under our 2021 Plan or the applicable tax event occurs, we may require the participant to remit to us an amount sufficient to satisfy applicable withholding tax requirements. Whenever payments in satisfaction of an Award are to be made in cash, such payment will be net of an amount sufficient to satisfy the applicable withholding tax requirements. Our Compensation Committee may require or permit the participant to satisfy applicable withholding tax requirements, in whole or in part by paying cash, electing to have us withhold otherwise deliverable cash or shares having a fair market value equal to the minimum statutory amount required to be withheld (or such other amount that will not cause an adverse accounting consequence or cost), delivering to us already-owned shares having a fair market value equal to the minimum amount required to be withheld or withholding from the proceeds of the sale of otherwise deliverable shares acquired pursuant to an award either through a voluntary sale or through a mandatory sale arranged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our Board approved grants consisting of an aggregate of 25,000 RSUs to our non-employee directors and 23,915 RSUs to executive and non-executive employees under our 2021 Plan. During 2026, no stock options have been granted under our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New Non-Employee Director Compensation Policy, assuming we obtain stockholder approval of this Proposal No. 8, we will be obligated to issue annual awards of RSUs with a value of $60,000 on the date of the Annual Meeting to each of our non-employee directors who continue to serve as a non-employee director immediately following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has broad discretion over the granting and amount of Awards under the 2021 Plan. As a result, except as discussed above, it is not possible to determine any additional benefits or amounts that will be received by any individual participant or group of participants in the future, other than those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No. 8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Proposal No.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AMENDMENT TO OUR 2021 INCENTIVE AWARD PLAN TO INCREASE THE NUMBER OF SHARES OF COMMON STOCK AUTHORIZED FOR ISSUANCE UNDER THE PLAN BY 250,000.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016"/>
      <w:bookmarkEnd w:id="35"/>
      <w:r>
        <w:rPr>
          <w:rFonts w:ascii="Times New Roman;Times;Serif" w:hAnsi="Times New Roman;Times;Serif"/>
          <w:b/>
          <w:i w:val="false"/>
          <w:caps w:val="false"/>
          <w:smallCaps w:val="false"/>
          <w:sz w:val="20"/>
        </w:rPr>
        <w:t>PROPOSAL NO.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APPROVE ONE OR MORE ADJOURNMENTS OF THE ANNUAL MEETING TO SOLICIT ADDITIONAL PROXIES IN FAVOR OF ANY OR ALL PROPOSALS IF THERE ARE NOT SUFFICIENT VOTES AT THE TIME OF SUCH ADJOURNMENT TO APPROVE ANY OR ALL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Proposals Nos. 1 through 8, our stockholders are also being asked to approve one or more adjournments of the Annual Meeting, if necessary or appropriate, to solicit additional proxies in favor of any or all of such Proposals, if there are not sufficient votes at the time of such adjournment to approve and adopt any or all of such Proposals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Adjournment Proposal is approved, the Annual Meeting could be successively adjourned to another date. In addition, the Board could postpone the Annual Meeting before it commences, whether for the purpose of soliciting additional proxies or for other reasons. If the Annual Meeting is adjourned for the purpose of soliciting additional proxies, stockholders who have already submitted their proxies will be able to revoke them at any time prior to their exercise at the adjourned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of Certain Persons in Matters to Be Acted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or executive officer has any substantial interest, direct or indirect, by security holdings or otherwise, in this proposal that is not shared by all of our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represented at the Annual Meeting, this Proposal No. 9 will be approved if the number of votes cast “FOR” this proposal exceeds the number of votes cast “AGAINST” this proposal. Abstentions are not considered votes cast and will have no effect on the outcome of Proposal No. 9. If this proposal is considered a “routine” matter such that a bank, broker, dealer or other nominee may generally vote without instructions on this Proposal No. 9, we do not expect any broker non-votes to result for this Proposal No.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represented at the Annual Meeting, this Proposal No. 9 will be approved if a majority of the voting power of our Common Stock represented at the Annual Meeting, or the person presiding at the Annual Meeting, approves the proposal. In this case, abstentions will have the effect of a vote “AGAINST” Proposal No. 9. If this proposal is considered a “routine” matter such that a bank, broker, dealer or other nominee may generally vote without instructions on this Proposal No. 9, we do not expect any broker non-votes to result for this Proposal No.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RECOMMENDS A VOTE “</w:t>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APPROVAL OF ONE OR MORE ADJOURNMENTS OF THE ANNUAL MEETING TO SOLICIT ADDITIONAL PROXIES IN FAVOR OF ANY OR ALL PROPOSALS IF THERE ARE NOT SUFFICIENT VOTES AT THE TIME OF SUCH ADJOURNMENT TO APPROVE ANY OR ALL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PROXIES WILL BE VOTED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THIS PROPOSAL UNLESS OTHERWISE SPECIFIED.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032"/>
      <w:bookmarkEnd w:id="36"/>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Proposals and Director Nominations for 2027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or director nominations by stockholders intended to be presented at our 2027 Annual Meeting and included in our proxy statement and form of proxy relating to that meeting must be delivered to our principal executive offices located at 2025 SW Deerhound Avenue, Redmond, Oregon 97756 no later than May 7, 2027. In order to be included in our proxy statement, any such proposal or director nomination must comply with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or director nominations by stockholders intended to be considered at the 2027 Annual Meeting without including any such proposal or director nomination in our proxy statement and form of proxy relating to that meeting must be delivered to our principal executive offices no earlier than the close of business on August 6, 2027 (the 90th day prior to the first anniversary of the Annual Meeting), and no later than the close of business on September 5, 2027 (the 60th day prior to the first anniversary of the Annual Meeting). In order to make a proposal at the 2027 Annual Meeting, any such proposal or director nomination must comply with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of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September 5, 2027 (the 60th day prior to the first anniversary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do not have appraisal rights under Nevada law or under our governing documents with respect to the matters to be voted upon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(Form 3) and statements of changes in beneficial ownership (Form 4) with respect to our equity securities with the SEC. Based on our review of the copies of such forms filed with the SEC and the written representations of the Reporting Persons received by us, we believe that during the fiscal year ended December 31, 2025, the following late filings occurred: one late Form 3 filing for each of Joseph Hammer and Shawna Bowin, and one late Form 4 filing for each of Brian Schaffner, Carson Heagen, and Shawna Bowin, in each case covering one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(such as brokers and banks)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broker or bank. If you are a record holder, you may call Broadridge at (800) 542-1061 or submit a request in writing to Broadridge Financial Solutions, Inc., Householding Department at 51 Mercedes Way, Edgewood, New York, 11717. Stockholders who currently receive multiple copies of our proxy materials at their address and would like to request householding of their communications should contact their broker or bank. Stockholders of record can contact Broadridge at the telephone number or address listed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extBody"/>
        <w:bidi w:val="0"/>
        <w:spacing w:before="0" w:after="0"/>
        <w:ind w:left="0" w:right="0" w:hanging="0"/>
        <w:jc w:val="both"/>
        <w:rPr>
          <w:caps w:val="false"/>
          <w:smallCaps w:val="false"/>
        </w:rPr>
      </w:pPr>
      <w:r>
        <w:rPr>
          <w:caps w:val="false"/>
          <w:smallCaps w:val="false"/>
        </w:rPr>
        <w:t> </w:t>
      </w:r>
    </w:p>
    <w:tbl>
      <w:tblPr>
        <w:tblW w:w="1625" w:type="dxa"/>
        <w:jc w:val="left"/>
        <w:tblInd w:w="0" w:type="dxa"/>
        <w:tblLayout w:type="fixed"/>
        <w:tblCellMar>
          <w:top w:w="0" w:type="dxa"/>
          <w:left w:w="0" w:type="dxa"/>
          <w:bottom w:w="28" w:type="dxa"/>
          <w:right w:w="0" w:type="dxa"/>
        </w:tblCellMar>
      </w:tblPr>
      <w:tblGrid>
        <w:gridCol w:w="1550"/>
        <w:gridCol w:w="75"/>
      </w:tblGrid>
      <w:tr>
        <w:trPr/>
        <w:tc>
          <w:tcPr>
            <w:tcW w:w="1550" w:type="dxa"/>
            <w:tcBorders>
              <w:bottom w:val="single" w:sz="8" w:space="0" w:color="000000"/>
            </w:tcBorders>
            <w:vAlign w:val="center"/>
          </w:tcPr>
          <w:p>
            <w:pPr>
              <w:pStyle w:val="TableContents"/>
              <w:bidi w:val="0"/>
              <w:spacing w:before="0" w:after="283"/>
              <w:jc w:val="both"/>
              <w:rPr>
                <w:i/>
              </w:rPr>
            </w:pPr>
            <w:r>
              <w:rPr>
                <w:i/>
              </w:rPr>
              <w:t>/s/ Kevin Sellers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Sellers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Redmond, Oregon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37" w:name="a017"/>
      <w:bookmarkEnd w:id="37"/>
      <w:r>
        <w:rPr>
          <w:rFonts w:ascii="Times New Roman;Times;Serif" w:hAnsi="Times New Roman;Times;Serif"/>
          <w:b/>
          <w:i w:val="false"/>
          <w:caps w:val="false"/>
          <w:smallCaps w:val="false"/>
          <w:sz w:val="20"/>
          <w:u w:val="single"/>
        </w:rPr>
        <w:t>APPENDIX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expion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RIGHTS AND LIMITATIONS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w:t>
      </w:r>
      <w:r>
        <w:rPr>
          <w:rFonts w:ascii="Times New Roman;Times;Serif" w:hAnsi="Times New Roman;Times;Serif"/>
          <w:b/>
          <w:i w:val="false"/>
          <w:caps/>
          <w:sz w:val="20"/>
        </w:rPr>
        <w:t>A-1 8</w:t>
      </w:r>
      <w:r>
        <w:rPr>
          <w:rFonts w:ascii="Times New Roman;Times;Serif" w:hAnsi="Times New Roman;Times;Serif"/>
          <w:b/>
          <w:i w:val="false"/>
          <w:caps w:val="false"/>
          <w:smallCaps w:val="false"/>
          <w:sz w:val="20"/>
        </w:rPr>
        <w:t>% CONVERTIBLE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 does hereby certify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 is the [__________] of [_____], a Nevada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resolutions were duly adopted by the board of directors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Articles of Incorporation of the Corporation (as amended,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authorize the issuance of up to 20,000,000 shares of preferred stock, par value $0.001 per share, issuable from time to time by the Corporation in one or more series and for such consideration as shall be determined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of which no shares of preferred stock have been issued; and</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shareholders of the Corporation previously authorized the Board of Directors, pursuant to an amendment to the Articles, to designate the voting powers, designations, preferences, limitations, restrictions and relative rights of the Preferred Stock, and based on such authority, the Board of Directors now desires to designate a series of the Preferred Stock and to determine the consideration to be paid for the preferred stock.</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Board of Directors does hereby provide for the issuance of a series of preferred stock for cash or exchange of other securities, rights or property of the Corporation, and does hereby designate the rights, preferences, restrictions and other matters relating to such series of preferred stock as follows:</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w:t>
      </w:r>
    </w:p>
    <w:p>
      <w:pPr>
        <w:pStyle w:val="TextBody"/>
        <w:bidi w:val="0"/>
        <w:spacing w:before="0" w:after="0"/>
        <w:ind w:left="0" w:right="0" w:hanging="0"/>
        <w:jc w:val="left"/>
        <w:rPr/>
      </w:pPr>
      <w:r>
        <w:rPr/>
        <w:t> </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SERIES A-1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hereof,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Corporation, par value $0.001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with respect to the particular conversion of Preferred Stock at issue, the “Stated Value of shares of Preferred Stock to be Converted” as reflected on the Notice of Conversion for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the shares of Common Stock issuable upon conversion of the shares of Preferred Stock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shall have the meaning set forth in Section 7(d).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Rate</w:t>
      </w:r>
      <w:r>
        <w:rPr>
          <w:rFonts w:ascii="Times New Roman;Times;Serif" w:hAnsi="Times New Roman;Times;Serif"/>
          <w:b w:val="false"/>
          <w:i w:val="false"/>
          <w:caps w:val="false"/>
          <w:smallCaps w:val="false"/>
          <w:sz w:val="20"/>
        </w:rPr>
        <w:t>” means the lesser of (a) the Conversion Price or (b) 90% of the arithmetic average of the three (3) lowest VWAPs during the five (5) Trading Days prior to the applicable Dividend Payment Date provided that the Dividend Conversion Rate shall not be less than the Floor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Economic Difference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that the Registration Statement filed by the Corporation pursuant to the Registration Rights Agreement is first declared effective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Conditions</w:t>
      </w:r>
      <w:r>
        <w:rPr>
          <w:rFonts w:ascii="Times New Roman;Times;Serif" w:hAnsi="Times New Roman;Times;Serif"/>
          <w:b w:val="false"/>
          <w:i w:val="false"/>
          <w:caps w:val="false"/>
          <w:smallCaps w:val="false"/>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owing to the applicable Holder in respect of such Holder’s shares of Preferred Stock, (c)(i) there is an effective Registration Statement pursuant to which the Holders are permitted to utilize the prospectus thereunder to resell all of the shares of Common Stock issuable in lieu of cash payments of dividends pursuant to Section 3, or (ii) all of the shares issuable in lieu of cash payments of dividends pursuant to Section 3 may be resold pursuant to Rule 144 without volume or manner-of-sale restrictions or current public information requirements as determined by counsel to the Corporation, (d) the Common Stock is trading on a Trading Market, (e) there is a sufficient number of authorized, but unissued and otherwise unreserved shares of Common Stock issuable in lieu of cash payments of dividends pursuant to Section 3, (f) the issuance of the shares in question to the applicable Holder would not violate the limitations set forth in Section 6(d) and Section 6(e)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Closing Date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 shall have the meaning set forth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means the Common Stock and all other capital stock of the Corporation other than those shares of capital stock of the Corporation which are explicitly senior to or pari passu with the Preferred Stock in dividend rights or liquidation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shall have the meaning set forth in Section 11(d).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xml:space="preserve">” means (a) the Indebtedness existing on the Original Issue Date and set forth on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(i) do not individually or in the aggregate materially detract from the value of such property or assets or materially impair the use thereof in the operation of the business of the Corporation,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Corporation,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Corporation, and any zoning or similar law or right reserved to or vested in any governmental authority to control or regulate the use of any real property that does not materially interfere with the ordinary conduct of the business of the Corporation,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Corporation,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Corporation or existing on any property or asset of any Person that becomes a subsidiary of the Corporation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Corporation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Corporation other than the assets so acquired or leased.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August 21, 2026, among the Corporation and the original Holders, as amended, modified or supplemented from time to time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of the Purchase Agreement, among the Corporation and the original Holders,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Certificate of Designation,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shares of Common Stock issued and issuable upon conversion of the Preferred Stock, and issued and issuable in payment of dividends on the Preferred Stock in accordance with the terms of this Certificate of Designation.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4.13(b)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xml:space="preserve">” means, collectively, the Common Stock Purchase Warrants to purchase shares of Common Stock delivered to the Holders on the First Closing Date in accordance with Section 2.2(a) of the Purchase Agreement,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series of preferred stock shall be designated as its Series A-1 8% Convertible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the number of shares so designated shall be up to 9,000 (which shall not be subject to increase without the written consent of the holders of a majority of the then outstanding shares of the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Preferred Stock shall have a par value of $0.001 per share and a stated value equal to $1,000, subject to increase as set forth in Section 7(b) below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 in Cash or in Kind</w:t>
      </w:r>
      <w:r>
        <w:rPr>
          <w:rFonts w:ascii="Times New Roman;Times;Serif" w:hAnsi="Times New Roman;Times;Serif"/>
          <w:b w:val="false"/>
          <w:i w:val="false"/>
          <w:caps w:val="false"/>
          <w:smallCaps w:val="false"/>
          <w:sz w:val="20"/>
        </w:rPr>
        <w:t>. From and after the one year anniversary of the Original Issue Date, Holders shall be entitled to receive, and the Corporation shall pay, cumulative dividends at the rate per share (as a percentage of the Stated Value per share) of 8% per annum, payable quarterly on January 1, April 1, July 1 and October 1 (any such payment date, the “</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in cash, or at the Corporation’s option provided that the Equity Conditions are then met, in duly authorized, validly issued, fully paid and non-assessable registered shares of Common Stock as set forth in this Section 3(a) or a combination thereof (the dollar amount to be paid in shares of Common Stock, the “</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If any Dividend Payment Date is not a Trading Day, the applicable payment shall be due on the next succeeding Trading Day. In addition, as a condition to paying dividends in shares of Common Stock, as to such Dividend Payment Date, but not more than five (5) Trading Days prior to such Dividend Payment Date, the Corporation shall have delivered to each Holder’s account with The Depository Trust Company a number of shares of Common Stock to be applied against such Dividend Share Amount equal to the quotient of (x) the applicable Dividend Share Amount divided by (y) the Dividend Conversion Rate in effect as of the Dividend Payment Date or, if the Dividend Payment Date is not a Trading Day, the most recent Trading Day preceding such Dividend Payment Date (the “</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The Holders shall have the same rights and remedies with respect to the delivery of any such shares as if such shares were being issued pursuant to Section 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Dividend Calculations</w:t>
      </w:r>
      <w:r>
        <w:rPr>
          <w:rFonts w:ascii="Times New Roman;Times;Serif" w:hAnsi="Times New Roman;Times;Serif"/>
          <w:b w:val="false"/>
          <w:i w:val="false"/>
          <w:caps w:val="false"/>
          <w:smallCaps w:val="false"/>
          <w:sz w:val="20"/>
        </w:rPr>
        <w:t>. Dividends on the Preferred Stock shall be calculated on the basis of a 360-day year, consisting of twelve 30 calendar day periods, and shall accrue daily commencing on the one year anniversary of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upon the delivery of the Conversion Shares in accordance with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Late Fees</w:t>
      </w:r>
      <w:r>
        <w:rPr>
          <w:rFonts w:ascii="Times New Roman;Times;Serif" w:hAnsi="Times New Roman;Times;Serif"/>
          <w:b w:val="false"/>
          <w:i w:val="false"/>
          <w:caps w:val="false"/>
          <w:smallCaps w:val="false"/>
          <w:sz w:val="20"/>
        </w:rPr>
        <w:t>. Any dividends, whether paid in cash or shares of Common Stock (or a combination thereof), that are not paid within three Trading Days following a Dividend 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xml:space="preserve">. So long as any Preferred Stock shall remain outstanding, the Corporation shall not, directly or indirectly, redeem, purchase or otherwise acquire directly or indirectly any Junior Securities. So long as any Preferred Stock shall remain outstanding, the Corporation shall not,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herein or as otherwise required by law, the Preferred Stock shall have no voting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Upon payment of the full preferential amounts set forth above in respect of a share of Preferred Stock, such share of Preferred Stock shall be immediately surrendered and cancelled without any further action on the part of the Corporation or the Holder thereof.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cancelled and shall not be reissued.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Preferred Stock shall equal $4.25, subject to adjustment herein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20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2525" w:type="dxa"/>
            <w:tcBorders/>
            <w:vAlign w:val="center"/>
          </w:tcPr>
          <w:p>
            <w:pPr>
              <w:pStyle w:val="TableContents"/>
              <w:bidi w:val="0"/>
              <w:spacing w:before="0" w:after="283"/>
              <w:jc w:val="both"/>
              <w:rPr/>
            </w:pPr>
            <w:r>
              <w:rPr>
                <w:u w:val="single"/>
              </w:rPr>
              <w:t>Mechanics of Conversion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Not later than the Standard Settlement Period (as defined below) after each Conversion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Corporation shall deliver, or cause to be delivered, to the converting Holder (A) the number of Conversion Shares being acquired upon the conversion of the Preferred Stock which, on or after the earlier of (i) the six month anniversary of the Original Issue Date,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dividends (if the Corporation has elected or is required to pay accrued dividends in cash). The Corporation shall deliver the Conversion Shares required to be delivered by the Corporation under this Section 6 electronically through the Depository Trust Company’s Fast Automated Securities Transfer Program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or another established clearing corporation performing similar functions.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Preferred Stock (as the case may be) (a “</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Stated Value of Preferred Stock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In addition to any other rights available to the Holder, if the Corporation fails for any reason to deliver to a Holder the applicable Conversion Shares by the Share Delivery Date pursuant to Section 6(c)(i), and the Holder has not rescinded such conversion pursuant to Section 6(c)(ii),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Corporation covenants that it will reserve and keep available out of its duly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the maximum number of shares of Common Stock then available for such purpose and, from and after the date on which the Corporation has a sufficient number of authorized and unissued shares of Common Stock available therefor, including following receipt of the Shareholder Approval (as defined in the Purchase Agreement) and the effectiveness of any related amendment to the Corporation’s articles of incorporation, not less than such aggregate number of shares of Common Stock as shall be issuable (taking into account the adjustments and restrictions of Section 7) upon the conversion of the then outstanding shares of Preferred Stock and payment of dividends hereunder. If at any time the Corporation does not have a sufficient number of authorized and unissued shares of Common Stock available to reserve the number of shares of Common Stock required to be reserved pursuant to this Section, the Corporation shall use commercially reasonable efforts to obtain the Shareholder Approval and take such other corporate action as may be necessary to increase its authorized shares of Common Stock or otherwise make a sufficient number of shares of Common Stock available for such purpose, in each case subject to the terms and conditions set forth in Section 4.11 of the Purchase Agreement. The Corporation covenants that all shares of Common Stock that shall be so issuable shall, upon issue, be duly authorized, validly issued, fully paid and nonassessable.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Preferred Stock. As to any fraction of a share which the Holder would otherwise be entitled to purchase upon such conversion, the Corporation shall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provided that for purposes of this Section 6(d), the Holder shall be entitled to rely on: (i) the Corporation’s most recent periodic or annual report filed with the Commission, (ii) a more recent public announcement by the Corporation, or (iii) a more recent written notice by the Corporation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and the Warrants, by such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 of the number of shares of the Common Stock outstanding immediately after giving effect to the issuance of shares of Common Stock issuable upon conversion of Preferred Stock held by the applicable Holder. In the event that the issuance of shares of Common Stock to the Holder upon conversion of the Preferred Stock results in the Holder together with any Affiliates and Attribution Parties being deemed to beneficially own, in the aggregate, a number of outstanding shares of Common Stock in excess of the Beneficial Ownership Limitation, the number of shares so issued by which the Holder’s together with any of its Affiliates’ and Attribution Parties’ aggregate beneficial ownership of shares of Common Stock exceeds the Beneficial Ownership Limitation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transfer the Excess Shares.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Issuance Limitations</w:t>
      </w:r>
      <w:r>
        <w:rPr>
          <w:rFonts w:ascii="Times New Roman;Times;Serif" w:hAnsi="Times New Roman;Times;Serif"/>
          <w:b w:val="false"/>
          <w:i w:val="false"/>
          <w:caps w:val="false"/>
          <w:smallCaps w:val="false"/>
          <w:sz w:val="20"/>
        </w:rPr>
        <w:t>. Notwithstanding anything herein to the contrary, if the Corporation has not obtained Shareholder Approval, then the Corporation may not issue, upon conversion of the Preferred Stock, a number of shares of Common Stock which, when aggregated with any shares of Common Stock issued on or after the Original Issue Date and prior to such Conversion Date (i) in connection with any conversion of Preferred Stock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Stated Value of such Holder’s Preferred Stock by (y) the aggregate Stated Value of all Preferred Stock issued on the Original Issue Date to all Holders. In addition, each Holder may allocate its pro-rata portion of the Issuable Maximum among Preferred Stock and Warrants held by it in its sole discretion. Such portion shall be adjusted upward ratably in the event a Holder no longer holds any Preferred Stock or Warrants and the amount of shares issued to such Holder pursuant to such Holder’s Preferred Stock and Warrants was less than such Holder’s pro-rata share of the Issuable Maximum.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The Conversion Price shall be subject to adjustment from time-to-time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at any time while any shares of the Preferred Stock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securities),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If, at any time subsequent to the First Closing Date, and while any shares of Preferred Stock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and any such issuance,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7(b) in respect of an Exempt Issuance.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Times;Serif" w:hAnsi="Times New Roman;Times;Serif"/>
          <w:b w:val="false"/>
          <w:i w:val="false"/>
          <w:caps w:val="false"/>
          <w:smallCaps w:val="false"/>
          <w:sz w:val="20"/>
          <w:u w:val="single"/>
        </w:rPr>
        <w:t>Applicable Conversion Price</w:t>
      </w:r>
      <w:r>
        <w:rPr>
          <w:rFonts w:ascii="Times New Roman;Times;Serif" w:hAnsi="Times New Roman;Times;Serif"/>
          <w:b w:val="false"/>
          <w:i w:val="false"/>
          <w:caps w:val="false"/>
          <w:smallCaps w:val="false"/>
          <w:sz w:val="20"/>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Stated Value of the Holder’s shares of Preferred Stock that remain unconverted following such conversion. For purposes of this section, “</w:t>
      </w:r>
      <w:r>
        <w:rPr>
          <w:rFonts w:ascii="Times New Roman;Times;Serif" w:hAnsi="Times New Roman;Times;Serif"/>
          <w:b w:val="false"/>
          <w:i w:val="false"/>
          <w:caps w:val="false"/>
          <w:smallCaps w:val="false"/>
          <w:sz w:val="20"/>
          <w:u w:val="single"/>
        </w:rPr>
        <w:t>Economic Difference</w:t>
      </w:r>
      <w:r>
        <w:rPr>
          <w:rFonts w:ascii="Times New Roman;Times;Serif" w:hAnsi="Times New Roman;Times;Serif"/>
          <w:b w:val="false"/>
          <w:i w:val="false"/>
          <w:caps w:val="false"/>
          <w:smallCaps w:val="false"/>
          <w:sz w:val="20"/>
        </w:rPr>
        <w:t xml:space="preserve">” shall be equal to (A) the number of shares of Common Stock that would have been delivered upon conversion of the Conversion Amount at the Applicable Conversion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number of shares of Common Stock actually delivered upon conversion of the Conversion Amount at the Floor Price,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(C) the </w:t>
      </w:r>
      <w:r>
        <w:rPr>
          <w:rFonts w:ascii="Times New Roman;Times;Serif" w:hAnsi="Times New Roman;Times;Serif"/>
          <w:b w:val="false"/>
          <w:i w:val="false"/>
          <w:caps w:val="false"/>
          <w:smallCaps w:val="false"/>
          <w:sz w:val="20"/>
          <w:u w:val="single"/>
        </w:rPr>
        <w:t>lower</w:t>
      </w:r>
      <w:r>
        <w:rPr>
          <w:rFonts w:ascii="Times New Roman;Times;Serif" w:hAnsi="Times New Roman;Times;Serif"/>
          <w:b w:val="false"/>
          <w:i w:val="false"/>
          <w:caps w:val="false"/>
          <w:smallCaps w:val="false"/>
          <w:sz w:val="20"/>
        </w:rPr>
        <w:t xml:space="preserve"> of (1) the daily VWAP of the Common Stock on the Conversion Date, and (2) the Applicable Conversion Price, as reflected in the following formula: ((A - B) * 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If, at any time while any shares of the Preferred Stock remain outstanding,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any shares of Preferred Stock remain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Corporation under this Certificate of Designation and the other Transaction Documents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Notice to the 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Conversion Price</w:t>
      </w:r>
      <w:r>
        <w:rPr>
          <w:rFonts w:ascii="Times New Roman;Times;Serif" w:hAnsi="Times New Roman;Times;Serif"/>
          <w:b w:val="false"/>
          <w:i w:val="false"/>
          <w:caps w:val="false"/>
          <w:smallCaps w:val="false"/>
          <w:sz w:val="20"/>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Conversion by Holder</w:t>
      </w:r>
      <w:r>
        <w:rPr>
          <w:rFonts w:ascii="Times New Roman;Times;Serif" w:hAnsi="Times New Roman;Times;Serif"/>
          <w:b w:val="false"/>
          <w:i w:val="false"/>
          <w:caps w:val="false"/>
          <w:smallCaps w:val="false"/>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As long as at least 2,250 shares of Preferred Stock are outstanding, unless the Required Holders shall have otherwise given prior written consent, the Corporation shall not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Permitted Indebtedness, enter into, create, incur, assume, guarantee or suffer to exist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amend its charter documents, including, without limitation, its articles of incorporation and bylaws, in any manner that materially and adversely affects any rights of the Holders, including authorizing or creating any class of capital stock ranking as to dividends, redemption or distribution of assets upon a Liquidation (as defined in Section 5) senior to, or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repay, repurchase or offer to repay, repurchase or otherwise acquire more than a </w:t>
      </w:r>
      <w:r>
        <w:rPr>
          <w:rFonts w:ascii="Times New Roman;Times;Serif" w:hAnsi="Times New Roman;Times;Serif"/>
          <w:b w:val="false"/>
          <w:i w:val="false"/>
          <w:caps w:val="false"/>
          <w:smallCaps w:val="false"/>
          <w:sz w:val="20"/>
          <w:u w:val="single"/>
        </w:rPr>
        <w:t>de minimis</w:t>
      </w:r>
      <w:r>
        <w:rPr>
          <w:rFonts w:ascii="Times New Roman;Times;Serif" w:hAnsi="Times New Roman;Times;Serif"/>
          <w:b w:val="false"/>
          <w:i w:val="false"/>
          <w:caps w:val="false"/>
          <w:smallCaps w:val="false"/>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 cash dividends or distributions on Junior Securities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transaction with any Affiliate of the Corporation which would be required to be disclosed in any public filing with the Commission (as determined by counsel to the Corporation), unless such transaction is made on an arm’s-length basis and expressly approved by a majority of the disinterested directors of the Corporation (even if less than a quorum otherwise required for Board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 into any agreement with respect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Chief Financial Officer, e-mail address CFO@expion360.com,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Absolute Obligation</w:t>
      </w:r>
      <w:r>
        <w:rPr>
          <w:rFonts w:ascii="Times New Roman;Times;Serif" w:hAnsi="Times New Roman;Times;Serif"/>
          <w:b w:val="false"/>
          <w:i w:val="false"/>
          <w:caps w:val="false"/>
          <w:smallCaps w:val="false"/>
          <w:sz w:val="20"/>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 Except as otherwise provided herein, any of the powers, designations, preferences, rights and other terms of the Preferred Stock may be waived on behalf of all holders of Preferred Stock by the affirmative vote or written consent of the Requisite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Status of Converted or Redeemed Preferred Stock</w:t>
      </w:r>
      <w:r>
        <w:rPr>
          <w:rFonts w:ascii="Times New Roman;Times;Serif" w:hAnsi="Times New Roman;Times;Serif"/>
          <w:b w:val="false"/>
          <w:i w:val="false"/>
          <w:caps w:val="false"/>
          <w:smallCaps w:val="false"/>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Series A-1 8%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compliance with any applicable securities laws and Section 4.1 of the Purchase Agreement, the Preferred Stock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FURTHER</w:t>
      </w:r>
      <w:r>
        <w:rPr>
          <w:rFonts w:ascii="Times New Roman;Times;Serif" w:hAnsi="Times New Roman;Times;Serif"/>
          <w:b w:val="false"/>
          <w:i w:val="false"/>
          <w:caps w:val="false"/>
          <w:smallCaps w:val="false"/>
          <w:sz w:val="20"/>
        </w:rPr>
        <w:t>, that the Chief Executive Officer, Chief Financial Officer, and the Secretary or any Assistant Secretary, of the Corporation be, and each of them hereby is authorized and directed to prepare and file this Certificate of Designation of Preferences, Rights and Limitations in accordance with the foregoing resolution and the provisions of Nevada law.</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this [___] day of [_____] 2026.</w:t>
      </w:r>
    </w:p>
    <w:p>
      <w:pPr>
        <w:pStyle w:val="TextBody"/>
        <w:bidi w:val="0"/>
        <w:spacing w:before="0" w:after="0"/>
        <w:ind w:left="0" w:right="0" w:firstLine="916"/>
        <w:jc w:val="both"/>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665"/>
      </w:tblGrid>
      <w:tr>
        <w:trPr/>
        <w:tc>
          <w:tcPr>
            <w:tcW w:w="75"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Title:</w:t>
            </w:r>
          </w:p>
        </w:tc>
      </w:tr>
    </w:tbl>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A-22</w:t>
      </w:r>
    </w:p>
    <w:p>
      <w:pPr>
        <w:pStyle w:val="TextBody"/>
        <w:bidi w:val="0"/>
        <w:spacing w:before="0" w:after="0"/>
        <w:ind w:left="0" w:right="0" w:hanging="0"/>
        <w:jc w:val="left"/>
        <w:rPr/>
      </w:pPr>
      <w:r>
        <w:rPr/>
        <w:t> </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A-23</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bookmarkStart w:id="38" w:name="a018"/>
      <w:bookmarkEnd w:id="38"/>
      <w:r>
        <w:rPr>
          <w:rFonts w:ascii="Times New Roman;Times;Serif" w:hAnsi="Times New Roman;Times;Serif"/>
          <w:b/>
          <w:i w:val="false"/>
          <w:caps/>
          <w:sz w:val="20"/>
          <w:u w:val="single"/>
        </w:rPr>
        <w:t>APPENDIX B</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expion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LIMITATIONS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 CONVERTIBLE 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 does hereby certify that: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[_____] is the [_____] of Expion Energy, Inc., a Nevada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resolutions were duly adopted by the board of directors of the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Articles of Incorporation of the Corporation (as amended,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authorize the issuance of up to 20,000,000 shares of preferred stock, par value $0.001 per share, issuable from time to time by the Corporation in one or more series and for such consideration as shall be determined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of which [_____]shares of preferred stock have been issued.</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BE IT RESOLVED</w:t>
      </w:r>
      <w:r>
        <w:rPr>
          <w:rFonts w:ascii="Times New Roman;Times;Serif" w:hAnsi="Times New Roman;Times;Serif"/>
          <w:b w:val="false"/>
          <w:i w:val="false"/>
          <w:caps w:val="false"/>
          <w:smallCaps w:val="false"/>
          <w:sz w:val="20"/>
        </w:rPr>
        <w:t>, that the Board of Directors does hereby provide for the issuance of a series of preferred stock for cash or exchange of other securities, rights or property of the Corporation, and does hereby designate the rights, preferences, restrictions and other matters relating to such series of preferred stock as follows:</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TERMS OF </w:t>
      </w:r>
      <w:r>
        <w:rPr>
          <w:rFonts w:ascii="Times New Roman;Times;Serif" w:hAnsi="Times New Roman;Times;Serif"/>
          <w:b w:val="false"/>
          <w:i w:val="false"/>
          <w:caps w:val="false"/>
          <w:smallCaps w:val="false"/>
          <w:sz w:val="20"/>
        </w:rPr>
        <w:t>[_____]</w:t>
      </w:r>
      <w:r>
        <w:rPr>
          <w:rFonts w:ascii="Times New Roman;Times;Serif" w:hAnsi="Times New Roman;Times;Serif"/>
          <w:b/>
          <w:i w:val="false"/>
          <w:caps w:val="false"/>
          <w:smallCaps w:val="false"/>
          <w:sz w:val="20"/>
        </w:rPr>
        <w:t>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the purposes hereof, the following terms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Corporation, par value $0.001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means, with respect to the particular conversion of Preferred Stock at issue, the “Stated Value of shares of Preferred Stock to be Converted” as reflected on the Notice of Conversion for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Section 6(b).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the shares of Common Stock issuable upon conversion of the shares of Preferred Stock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shall have the meaning set forth in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shall have the meaning set forth in Section 7(d).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Rate</w:t>
      </w:r>
      <w:r>
        <w:rPr>
          <w:rFonts w:ascii="Times New Roman;Times;Serif" w:hAnsi="Times New Roman;Times;Serif"/>
          <w:b w:val="false"/>
          <w:i w:val="false"/>
          <w:caps w:val="false"/>
          <w:smallCaps w:val="false"/>
          <w:sz w:val="20"/>
        </w:rPr>
        <w:t>” means the lesser of (a) the Conversion Price or (b) 90% of the arithmetic average of the three (3) lowest VWAPs during the five (5) Trading Days prior to the applicable Dividend Payment Date provided that the Dividend Conversion Rate shall not be less than the Floor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that the Registration Statement filed by the Corporation pursuant to the Registration Rights Agreement is first declared effective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Conditions</w:t>
      </w:r>
      <w:r>
        <w:rPr>
          <w:rFonts w:ascii="Times New Roman;Times;Serif" w:hAnsi="Times New Roman;Times;Serif"/>
          <w:b w:val="false"/>
          <w:i w:val="false"/>
          <w:caps w:val="false"/>
          <w:smallCaps w:val="false"/>
          <w:sz w:val="20"/>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owing to the applicable Holder in respect of such Holder’s shares of Preferred Stock, (c)(i) there is an effective Registration Statement pursuant to which the Holders are permitted to utilize the prospectus thereunder to resell all of the shares of Common Stock issuable in lieu of cash payments of dividends pursuant to Section 3, or (ii) all of the shares issuable in lieu of cash payments of dividends pursuant to Section 3 may be resold pursuant to Rule 144 without volume or manner-of-sale restrictions or current public information requirements as determined by counsel to the Corporation, (d) the Common Stock is trading on a Trading Market, (e) there is a sufficient number of authorized, but unissued and otherwise unreserved shares of Common Stock issuable in lieu of cash payments of dividends pursuant to Section 3, (f) the issuance of the shares in question to the applicable Holder would not violate the limitations set forth in Section 6(d) and Section 6(e) herein, (g) there has been no public announcement of a pending or proposed Fundamental Transaction that has not been consummated, and (h) the applicable Holder is not in possession of any material non-public information regarding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have the meaning set forth in Section 6(d).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Closing Date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Issuable Maximum</w:t>
      </w:r>
      <w:r>
        <w:rPr>
          <w:rFonts w:ascii="Times New Roman;Times;Serif" w:hAnsi="Times New Roman;Times;Serif"/>
          <w:b w:val="false"/>
          <w:i w:val="false"/>
          <w:caps w:val="false"/>
          <w:smallCaps w:val="false"/>
          <w:sz w:val="20"/>
        </w:rPr>
        <w:t>” shall have the meaning set forth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means the Common Stock and all other capital stock of the Corporation other than those shares of capital stock of the Corporation which are explicitly senior to or pari passu with the Preferred Stock in dividend rights or liquidation preference.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shall have the meaning set forth in Section 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shall have the meaning set forth in Section 11(d).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shall have the meaning set forth in Section 6(a).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Issue Date</w:t>
      </w:r>
      <w:r>
        <w:rPr>
          <w:rFonts w:ascii="Times New Roman;Times;Serif" w:hAnsi="Times New Roman;Times;Serif"/>
          <w:b w:val="false"/>
          <w:i w:val="false"/>
          <w:caps w:val="false"/>
          <w:smallCaps w:val="false"/>
          <w:sz w:val="20"/>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xml:space="preserve">” means (a) the Indebtedness existing on the Original Issue Date and set forth on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xml:space="preserve"> attached to the Purchase Agreement and any refinancings, refundings, renewals or extensions thereof;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and (e) lease obligations and purchase money indebtedness incurred in connection with the acquisition of capital assets and lease obligations with respect to newly acquired or leased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Corporation) have been established in accordance with GAAP, (b) Liens imposed by law which were incurred in the ordinary course of the Corporation’s business, such as carriers’, warehousemen’s and mechanics’ Liens, statutory landlords’ Liens, and other similar Liens arising in the ordinary course of the Corporation’s business, and which (i) do not individually or in the aggregate materially detract from the value of such property or assets or materially impair the use thereof in the operation of the business of the Corporation,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Corporation,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Corporation, and any zoning or similar law or right reserved to or vested in any governmental authority to control or regulate the use of any real property that does not materially interfere with the ordinary conduct of the business of the Corporation,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Corporation,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Corporation or existing on any property or asset of any Person that becomes a subsidiary of the Corporation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Corporation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 (i) Liens incurred in connection with Permitted Indebtedness under clause (a) thereunder, and (j) Liens incurred in connection with Permitted Indebtedness under clause (e) thereunder, provided that such Liens are not secured by assets of the Corporation other than the assets so acquired or leased.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the Securities Purchase Agreement, dated as of August 21, 2026, among the Corporation and the original Holders, as amended, modified or supplemented from time to time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of the Purchase Agreement, among the Corporation and the original Holders,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of the Underlying Shares and the Warrant Shares by each Holder as provided for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have the meaning set forth in Section 2, as the same may be increased pursuant to Section 7(b).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Approval</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shall have the meaning set forth in Section 7(e).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Certificate of Designation, the Purchase Agreement, the Registration Rights Agreement, the Warrants, all exhibits and schedules hereto and thereto and any other documents or agreements executed in connection with the transactions contemplated pursuant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shares of Common Stock issued and issuable upon conversion of the Preferred Stock, and issued and issuable in payment of dividends on the Preferred Stock in accordance with the terms of this Certificate of Designation.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4.13(b)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have the meaning ascribed to such term in Section 1.1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xml:space="preserve">” means, collectively, the Common Stock Purchase Warrants to purchase shares of Common Stock delivered to the Holders on the First Closing Date in accordance with Section 2.2(a) of the Purchase Agreement,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to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Designation, Amount and Par Value</w:t>
      </w:r>
      <w:r>
        <w:rPr>
          <w:rFonts w:ascii="Times New Roman;Times;Serif" w:hAnsi="Times New Roman;Times;Serif"/>
          <w:b w:val="false"/>
          <w:i w:val="false"/>
          <w:caps w:val="false"/>
          <w:smallCaps w:val="false"/>
          <w:sz w:val="20"/>
        </w:rPr>
        <w:t>. The series of preferred stock shall be designated as its [_____]Convertible Preferred Stock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and the number of shares so designated shall be up to [_____] (which shall not be subject to increase without the written consent of the holders of a majority of the then outstanding shares of the Preferred Stock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Each share of Preferred Stock shall have a par value of $0.001 per share and a stated value equal to $1,000, subject to increase as set forth in Section 7(b) below (the “</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Dividends in Cash or in Kind</w:t>
      </w:r>
      <w:r>
        <w:rPr>
          <w:rFonts w:ascii="Times New Roman;Times;Serif" w:hAnsi="Times New Roman;Times;Serif"/>
          <w:b w:val="false"/>
          <w:i w:val="false"/>
          <w:caps w:val="false"/>
          <w:smallCaps w:val="false"/>
          <w:sz w:val="20"/>
        </w:rPr>
        <w:t>. From and after the one year anniversary of the Original Issue Date, Holders shall be entitled to receive, and the Corporation shall pay, cumulative dividends at the rate per share (as a percentage of the Stated Value per share) of 8% per annum, payable quarterly on January 1, April 1, July 1 and October 1 (any such payment date, the “</w:t>
      </w:r>
      <w:r>
        <w:rPr>
          <w:rFonts w:ascii="Times New Roman;Times;Serif" w:hAnsi="Times New Roman;Times;Serif"/>
          <w:b w:val="false"/>
          <w:i w:val="false"/>
          <w:caps w:val="false"/>
          <w:smallCaps w:val="false"/>
          <w:sz w:val="20"/>
          <w:u w:val="single"/>
        </w:rPr>
        <w:t>Dividend Payment Date</w:t>
      </w:r>
      <w:r>
        <w:rPr>
          <w:rFonts w:ascii="Times New Roman;Times;Serif" w:hAnsi="Times New Roman;Times;Serif"/>
          <w:b w:val="false"/>
          <w:i w:val="false"/>
          <w:caps w:val="false"/>
          <w:smallCaps w:val="false"/>
          <w:sz w:val="20"/>
        </w:rPr>
        <w:t>”) in cash, or at the Corporation’s option provided that the Equity Conditions are then met, in duly authorized, validly issued, fully paid and non-assessable registered shares of Common Stock as set forth in this Section 3(a) or a combination thereof (the dollar amount to be paid in shares of Common Stock, the “</w:t>
      </w:r>
      <w:r>
        <w:rPr>
          <w:rFonts w:ascii="Times New Roman;Times;Serif" w:hAnsi="Times New Roman;Times;Serif"/>
          <w:b w:val="false"/>
          <w:i w:val="false"/>
          <w:caps w:val="false"/>
          <w:smallCaps w:val="false"/>
          <w:sz w:val="20"/>
          <w:u w:val="single"/>
        </w:rPr>
        <w:t>Dividend Share Amount</w:t>
      </w:r>
      <w:r>
        <w:rPr>
          <w:rFonts w:ascii="Times New Roman;Times;Serif" w:hAnsi="Times New Roman;Times;Serif"/>
          <w:b w:val="false"/>
          <w:i w:val="false"/>
          <w:caps w:val="false"/>
          <w:smallCaps w:val="false"/>
          <w:sz w:val="20"/>
        </w:rPr>
        <w:t>”). If any Dividend Payment Date is not a Trading Day, the applicable payment shall be due on the next succeeding Trading Day. In addition, as a condition to paying dividends in shares of Common Stock, as to such Dividend Payment Date, but not more than five (5) Trading Days prior to such Dividend Payment Date, the Corporation shall have delivered to each Holder’s account with The Depository Trust Company a number of shares of Common Stock to be applied against such Dividend Share Amount equal to the quotient of (x) the applicable Dividend Share Amount divided by (y) the Dividend Conversion Rate in effect as of the Dividend Payment Date or, if the Dividend Payment Date is not a Trading Day, the most recent Trading Day preceding such Dividend Payment Date (the “</w:t>
      </w:r>
      <w:r>
        <w:rPr>
          <w:rFonts w:ascii="Times New Roman;Times;Serif" w:hAnsi="Times New Roman;Times;Serif"/>
          <w:b w:val="false"/>
          <w:i w:val="false"/>
          <w:caps w:val="false"/>
          <w:smallCaps w:val="false"/>
          <w:sz w:val="20"/>
          <w:u w:val="single"/>
        </w:rPr>
        <w:t>Dividend Conversion Shares</w:t>
      </w:r>
      <w:r>
        <w:rPr>
          <w:rFonts w:ascii="Times New Roman;Times;Serif" w:hAnsi="Times New Roman;Times;Serif"/>
          <w:b w:val="false"/>
          <w:i w:val="false"/>
          <w:caps w:val="false"/>
          <w:smallCaps w:val="false"/>
          <w:sz w:val="20"/>
        </w:rPr>
        <w:t>”). The Holders shall have the same rights and remedies with respect to the delivery of any such shares as if such shares were being issued pursuant to Section 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Dividend Calculations</w:t>
      </w:r>
      <w:r>
        <w:rPr>
          <w:rFonts w:ascii="Times New Roman;Times;Serif" w:hAnsi="Times New Roman;Times;Serif"/>
          <w:b w:val="false"/>
          <w:i w:val="false"/>
          <w:caps w:val="false"/>
          <w:smallCaps w:val="false"/>
          <w:sz w:val="20"/>
        </w:rPr>
        <w:t>. Dividends on the Preferred Stock shall be calculated on the basis of a 360-day year, consisting of twelve 30 calendar day periods, and shall accrue daily commencing on the one year anniversary of the Original Issue Date, and shall be deemed to accrue from such date whether or not earned or declared and whether or not there are profits, surplus or other funds of the Corporation legally available for the payment of dividends. Payment of dividends in shares of Common Stock shall otherwise occur pursuant to Section 6(c)(i) herein and, solely for purposes of the payment of dividends in shares, the Dividend Payment Date shall be deemed the Conversion Date. Dividends shall cease to accrue with respect to any Preferred Stock converted upon the delivery of the Conversion Shares in accordance with Section 6(c)(i) herein. Except as otherwise provided herein, if at any time the Corporation pays dividends partially in cash and partially in shares, then such payment shall be distributed ratably among the Holders based upon the number of shares of Preferred Stock held by each Holder on such Dividend Payment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Late Fees</w:t>
      </w:r>
      <w:r>
        <w:rPr>
          <w:rFonts w:ascii="Times New Roman;Times;Serif" w:hAnsi="Times New Roman;Times;Serif"/>
          <w:b w:val="false"/>
          <w:i w:val="false"/>
          <w:caps w:val="false"/>
          <w:smallCaps w:val="false"/>
          <w:sz w:val="20"/>
        </w:rPr>
        <w:t>. Any dividends, whether paid in cash or shares of Common Stock (or a combination thereof), that are not paid within three Trading Days following a Dividend Payment Date shall continue to accrue and shall entail a late fee, which must be paid in cash, at the rate of 15% per annum or the lesser rate permitted by applicable law which shall accrue daily from the Dividend Payment Date through and including the date of actual payment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xml:space="preserve">. So long as any Preferred Stock shall remain outstanding, the Corporation shall not, directly or indirectly, redeem, purchase or otherwise acquire directly or indirectly any Junior Securities. So long as any Preferred Stock shall remain outstanding, the Corporation shall not, directly or indirectly, pay or declare any dividend or make any distribution upon (other than a dividend or distribution described in Section 6 or dividends due and paid in the ordinary course on preferred stock of the Corporation at such times when the Corporation is in compliance with its payment and other obligations hereunder), nor shall any distribution be made in respect of, any Junior Securities as long as any dividends due on the Preferred Stock remain unpaid, nor shall any monies be set aside for or applied to the purchase or redemption (through a sinking fund or otherwise) of any Junior Securities or shares </w:t>
      </w:r>
      <w:r>
        <w:rPr>
          <w:rFonts w:ascii="Times New Roman;Times;Serif" w:hAnsi="Times New Roman;Times;Serif"/>
          <w:b w:val="false"/>
          <w:i w:val="false"/>
          <w:caps w:val="false"/>
          <w:smallCaps w:val="false"/>
          <w:sz w:val="20"/>
          <w:u w:val="single"/>
        </w:rPr>
        <w:t>pari passu</w:t>
      </w:r>
      <w:r>
        <w:rPr>
          <w:rFonts w:ascii="Times New Roman;Times;Serif" w:hAnsi="Times New Roman;Times;Serif"/>
          <w:b w:val="false"/>
          <w:i w:val="false"/>
          <w:caps w:val="false"/>
          <w:smallCaps w:val="false"/>
          <w:sz w:val="20"/>
        </w:rPr>
        <w:t xml:space="preserve"> with the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Except as otherwise provided herein or as otherwise required by law, the Preferred Stock shall have no voting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any liquidation, dissolution or winding-up of the Corporation, whether voluntary or involuntary (a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Holders shall be entitled to receive out of the assets, whether capital or surplus, of the Corporation an amount equal to the Stated Value, plus any accrued and unpaid dividends thereon and any other fees or liquidated damages then due and owing thereon under this Certificate of Designation, for each share of Preferred Stock before any distribution or payment shall be made to the holders of any Junior Securities, and if the assets of the Corporation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 Upon payment of the full preferential amounts set forth above in respect of a share of Preferred Stock, such share of Preferred Stock shall be immediately surrendered and cancelled without any further action on the part of the Corporation or the Holder thereof. A Fundamental Transaction shall not be deemed a Liquidation. The Corporation shall mail written notice of any such Liquidation, not less than 45 days prior to the payment date stated therein, to each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Conversions at Option of Holder</w:t>
      </w:r>
      <w:r>
        <w:rPr>
          <w:rFonts w:ascii="Times New Roman;Times;Serif" w:hAnsi="Times New Roman;Times;Serif"/>
          <w:b w:val="false"/>
          <w:i w:val="false"/>
          <w:caps w:val="false"/>
          <w:smallCaps w:val="false"/>
          <w:sz w:val="20"/>
        </w:rPr>
        <w:t xml:space="preserve">. Each share of Preferred Stock shall be convertible, at any time and from time to time from and after the Original Issue Date at the option of the Holder thereof, into that number of shares of Common Stock (subject to the limitations set forth in Section 6(d) and Section 6(e)) determined by dividing the Stated Value of such share of Preferred Stock by the Conversion Price. Holders shall effect conversions by providing the Corporation with the form of conversion notice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.pdf via email such Notice of Conversion to the Corporation (such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the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cancelled and shall not be reissued.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The conversion price for the Preferred Stock shall equal $[_____], subject to adjustment herein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Delivery of Conversion Shares Upon Conversion</w:t>
      </w:r>
      <w:r>
        <w:rPr>
          <w:rFonts w:ascii="Times New Roman;Times;Serif" w:hAnsi="Times New Roman;Times;Serif"/>
          <w:b w:val="false"/>
          <w:i w:val="false"/>
          <w:caps w:val="false"/>
          <w:smallCaps w:val="false"/>
          <w:sz w:val="20"/>
        </w:rPr>
        <w:t>. Not later than the Standard Settlement Period (as defined below) after each Conversion Date (the “</w:t>
      </w:r>
      <w:r>
        <w:rPr>
          <w:rFonts w:ascii="Times New Roman;Times;Serif" w:hAnsi="Times New Roman;Times;Serif"/>
          <w:b w:val="false"/>
          <w:i w:val="false"/>
          <w:caps w:val="false"/>
          <w:smallCaps w:val="false"/>
          <w:sz w:val="20"/>
          <w:u w:val="single"/>
        </w:rPr>
        <w:t>Share Delivery Date</w:t>
      </w:r>
      <w:r>
        <w:rPr>
          <w:rFonts w:ascii="Times New Roman;Times;Serif" w:hAnsi="Times New Roman;Times;Serif"/>
          <w:b w:val="false"/>
          <w:i w:val="false"/>
          <w:caps w:val="false"/>
          <w:smallCaps w:val="false"/>
          <w:sz w:val="20"/>
        </w:rPr>
        <w:t>”), the Corporation shall deliver, or cause to be delivered, to the converting Holder (A) the number of Conversion Shares being acquired upon the conversion of the Preferred Stock which, on or after the earlier of (i) the six month anniversary of the Original Issue Date,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dividends (if the Corporation has elected or is required to pay accrued dividends in cash). The Corporation shall deliver the Conversion Shares required to be delivered by the Corporation under this Section 6 electronically through the Depository Trust Company’s Fast Automated Securities Transfer Program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or another established clearing corporation performing similar functions.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Corporation’s primary Trading Market with respect to the Common Stock as in effect on the date of delivery of the Notice of Conversion.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Failure to Deliver Conversion Shares</w:t>
      </w:r>
      <w:r>
        <w:rPr>
          <w:rFonts w:ascii="Times New Roman;Times;Serif" w:hAnsi="Times New Roman;Times;Serif"/>
          <w:b w:val="false"/>
          <w:i w:val="false"/>
          <w:caps w:val="false"/>
          <w:smallCaps w:val="false"/>
          <w:sz w:val="20"/>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Preferred Stock (as the case may be) (a “</w:t>
      </w:r>
      <w:r>
        <w:rPr>
          <w:rFonts w:ascii="Times New Roman;Times;Serif" w:hAnsi="Times New Roman;Times;Serif"/>
          <w:b w:val="false"/>
          <w:i w:val="false"/>
          <w:caps w:val="false"/>
          <w:smallCaps w:val="false"/>
          <w:sz w:val="20"/>
          <w:u w:val="single"/>
        </w:rPr>
        <w:t>Conversion Failure</w:t>
      </w:r>
      <w:r>
        <w:rPr>
          <w:rFonts w:ascii="Times New Roman;Times;Serif" w:hAnsi="Times New Roman;Times;Serif"/>
          <w:b w:val="false"/>
          <w:i w:val="false"/>
          <w:caps w:val="false"/>
          <w:smallCaps w:val="false"/>
          <w:sz w:val="20"/>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Times;Serif" w:hAnsi="Times New Roman;Times;Serif"/>
          <w:b w:val="false"/>
          <w:i w:val="false"/>
          <w:caps w:val="false"/>
          <w:smallCaps w:val="false"/>
          <w:sz w:val="20"/>
          <w:u w:val="single"/>
        </w:rPr>
        <w:t>Prepayment Election</w:t>
      </w:r>
      <w:r>
        <w:rPr>
          <w:rFonts w:ascii="Times New Roman;Times;Serif" w:hAnsi="Times New Roman;Times;Serif"/>
          <w:b w:val="false"/>
          <w:i w:val="false"/>
          <w:caps w:val="false"/>
          <w:smallCaps w:val="false"/>
          <w:sz w:val="20"/>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Preferred Stock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Obligation Absolute; Partial Liquidated Damages</w:t>
      </w:r>
      <w:r>
        <w:rPr>
          <w:rFonts w:ascii="Times New Roman;Times;Serif" w:hAnsi="Times New Roman;Times;Serif"/>
          <w:b w:val="false"/>
          <w:i w:val="false"/>
          <w:caps w:val="false"/>
          <w:smallCaps w:val="false"/>
          <w:sz w:val="20"/>
        </w:rPr>
        <w:t>.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Preferred Stock, the Corporation may not refuse conversion based on any claim that such Holder or any one associated or affiliated with such Holder has been engaged in any violation of law, agreement or for any other reason, unless an injunction from a court, on notice to Holder, restraining and/or enjoining conversion of all or part of the Preferred Stock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Stated Value of Preferred Stock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Conversion Shares Upon Conversion</w:t>
      </w:r>
      <w:r>
        <w:rPr>
          <w:rFonts w:ascii="Times New Roman;Times;Serif" w:hAnsi="Times New Roman;Times;Serif"/>
          <w:b w:val="false"/>
          <w:i w:val="false"/>
          <w:caps w:val="false"/>
          <w:smallCaps w:val="false"/>
          <w:sz w:val="20"/>
        </w:rPr>
        <w:t>. In addition to any other rights available to the Holder, if the Corporation fails for any reason to deliver to a Holder the applicable Conversion Shares by the Share Delivery Date pursuant to Section 6(c)(i), and the Holder has not rescinded such conversion pursuant to Section 6(c)(ii),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Preferred Stock equal to the number of shares of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shares of Preferred Stock as required pursuant to the terms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Reservation of Shares Issuable Upon Conversion</w:t>
      </w:r>
      <w:r>
        <w:rPr>
          <w:rFonts w:ascii="Times New Roman;Times;Serif" w:hAnsi="Times New Roman;Times;Serif"/>
          <w:b w:val="false"/>
          <w:i w:val="false"/>
          <w:caps w:val="false"/>
          <w:smallCaps w:val="false"/>
          <w:sz w:val="20"/>
        </w:rPr>
        <w:t>. The Corporation covenants that it will reserve and keep available out of its duly authorized and unissued shares of Common Stock for the sole purpose of issuance upon conversion of the Preferred Stock and payment of dividends on the Preferred Stock, each as herein provided, free from preemptive rights or any other actual contingent purchase rights of Persons other than the Holder (and the other holders of the Preferred Stock), the maximum number of shares of Common Stock then available for such purpose and, from and after the date on which the Corporation has a sufficient number of authorized and unissued shares of Common Stock available therefor, including following receipt of the Shareholder Approval (as defined in the Purchase Agreement) and the effectiveness of any related amendment to the Corporation’s articles of incorporation, not less than such aggregate number of shares of Common Stock as shall be issuable (taking into account the adjustments and restrictions of Section 7) upon the conversion of the then outstanding shares of Preferred Stock and payment of dividends hereunder. If at any time the Corporation does not have a sufficient number of authorized and unissued shares of Common Stock available to reserve the number of shares of Common Stock required to be reserved pursuant to this Section, the Corporation shall use commercially reasonable efforts to obtain the Shareholder Approval and take such other corporate action as may be necessary to increase its authorized shares of Common Stock or otherwise make a sufficient number of shares of Common Stock available for such purpose, in each case subject to the terms and conditions set forth in Section 4.11 of the Purchase Agreement. The Corporation covenants that all shares of Common Stock that shall be so issuable shall, upon issue, be duly authorized, validly issued, fully paid and nonassessable.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No fractional shares or scrip representing fractional shares shall be issued upon the conversion of the Preferred Stock. As to any fraction of a share which the Holder would otherwise be entitled to purchase upon such conversion, the Corporation shall round up to the next whole share. Notwithstanding anything to the contrary contained herein, but consistent with the provisions of this subsection with respect to fractional Conversion Shares, nothing shall prevent any Holder from converting fractional shares of Preferred Stock.</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Transfer Taxes and Expenses</w:t>
      </w:r>
      <w:r>
        <w:rPr>
          <w:rFonts w:ascii="Times New Roman;Times;Serif" w:hAnsi="Times New Roman;Times;Serif"/>
          <w:b w:val="false"/>
          <w:i w:val="false"/>
          <w:caps w:val="false"/>
          <w:smallCaps w:val="false"/>
          <w:sz w:val="20"/>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for same-day electronic delivery of the Conversion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B-12</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The Corporation shall not effect any conversion of the Preferred Stock, and a Holder shall not have the right to convert any portion of the Preferred Stock, to the extent that, after giving effect to the conversion set forth on the applicable Notice of Conversion, such Holder (together with such Holder’s Affiliates, and any Persons acting as a group together with such Holder or any of such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Preferred Stock with respect to which such determination is being made, but shall exclude the number of shares of Common Stock which are issuable upon (i) conversion of the remaining, unconverted Stated Value of Preferred Stock beneficially owned by such Holder or any of its Affiliates or Attribution Parties and (ii) exercise or conversion of the unexercised or unconverted portion of any other securities of the Corporation subject to a limitation on conversion or exercise analogous to the limitation contained herein (including, without limitation, the Preferred Stock and the Warrants) beneficially owned by such Holder or any of its Affiliates or Attribution Parties.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Preferred Stock is convertible (in relation to other securities owned by such Holder together with any Affiliates and Attribution Parties) and of how many shares of Preferred Stock are convertible shall be in the sole discretion of such Holder, and the submission of a Notice of Conversion shall be deemed to be such Holder’s determination of whether the shares of Preferred Stock may be converted (in relation to other securities owned by such Holder together with any Affiliates and Attribution Parties) and how many shares of the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provided that for purposes of this Section 6(d), the Holder shall be entitled to rely on: (i) the Corporation’s most recent periodic or annual report filed with the Commission, (ii) a more recent public announcement by the Corporation, or (iii) a more recent written notice by the Corporation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request of a Holder, the Corporation shall within one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Preferred Stock and the Warrants, by such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[_____]% of the number of shares of the Common Stock outstanding immediately after giving effect to the issuance of shares of Common Stock issuable upon conversion of Preferred Stock held by the applicable Holder. In the event that the issuance of shares of Common Stock to the Holder upon conversion of the Preferred Stock results in the Holder together with any Affiliates and Attribution Parties being deemed to beneficially own, in the aggregate, a number of outstanding shares of Common Stock in excess of the Beneficial Ownership Limitation, the number of shares so issued by which the Holder’s together with any of its Affiliates’ and Attribution Parties’ aggregate beneficial ownership of shares of Common Stock exceeds the Beneficial Ownership Limitation (the “</w:t>
      </w:r>
      <w:r>
        <w:rPr>
          <w:rFonts w:ascii="Times New Roman;Times;Serif" w:hAnsi="Times New Roman;Times;Serif"/>
          <w:b w:val="false"/>
          <w:i w:val="false"/>
          <w:caps w:val="false"/>
          <w:smallCaps w:val="false"/>
          <w:sz w:val="20"/>
          <w:u w:val="single"/>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transfer the Excess Shares. A Holder, upon notice to the Corporation, may increase or decrease the Beneficial Ownership Limitation provisions of this Section 6(d) applicable to its Preferred Stock provided that the Beneficial Ownership Limitation in no event exceeds 9.99% of the number of shares of the Common Stock outstanding immediately after giving effect to the issuance of shares of Common Stock upon conversion of this Preferred Stock held by the Holder and the provisions of this Section 6(d) shall continue to apply. Any such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Corporation and shall only apply to such Holder and no other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Issuance Limitations</w:t>
      </w:r>
      <w:r>
        <w:rPr>
          <w:rFonts w:ascii="Times New Roman;Times;Serif" w:hAnsi="Times New Roman;Times;Serif"/>
          <w:b w:val="false"/>
          <w:i w:val="false"/>
          <w:caps w:val="false"/>
          <w:smallCaps w:val="false"/>
          <w:sz w:val="20"/>
        </w:rPr>
        <w:t>. Notwithstanding anything herein to the contrary, if the Corporation has not obtained Shareholder Approval, then the Corporation may not issue, upon conversion of the Preferred Stock, a number of shares of Common Stock which, when aggregated with any shares of Common Stock issued on or after the Original Issue Date and prior to such Conversion Date (i) in connection with any conversion of Preferred Stock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Stated Value of such Holder’s Preferred Stock by (y) the aggregate Stated Value of all Preferred Stock issued on the Original Issue Date to all Holders. In addition, each Holder may allocate its pro-rata portion of the Issuable Maximum among Preferred Stock and Warrants held by it in its sole discretion. Such portion shall be adjusted upward ratably in the event a Holder no longer holds any Preferred Stock or Warrants and the amount of shares issued to such Holder pursuant to such Holder’s Preferred Stock and Warrants was less than such Holder’s pro-rata share of the Issuable Maximum.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The Conversion Price shall be subject to adjustment from time-to-time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Stock Splits</w:t>
      </w:r>
      <w:r>
        <w:rPr>
          <w:rFonts w:ascii="Times New Roman;Times;Serif" w:hAnsi="Times New Roman;Times;Serif"/>
          <w:b w:val="false"/>
          <w:i w:val="false"/>
          <w:caps w:val="false"/>
          <w:smallCaps w:val="false"/>
          <w:sz w:val="20"/>
        </w:rPr>
        <w:t>. If, at any time while any shares of the Preferred Stock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securities),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If, at any time subsequent to the First Closing Date, and while any shares of Preferred Stock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Times;Serif" w:hAnsi="Times New Roman;Times;Serif"/>
          <w:b w:val="false"/>
          <w:i w:val="false"/>
          <w:caps w:val="false"/>
          <w:smallCaps w:val="false"/>
          <w:sz w:val="20"/>
          <w:u w:val="single"/>
        </w:rPr>
        <w:t>Base Conversion Price</w:t>
      </w:r>
      <w:r>
        <w:rPr>
          <w:rFonts w:ascii="Times New Roman;Times;Serif" w:hAnsi="Times New Roman;Times;Serif"/>
          <w:b w:val="false"/>
          <w:i w:val="false"/>
          <w:caps w:val="false"/>
          <w:smallCaps w:val="false"/>
          <w:sz w:val="20"/>
        </w:rPr>
        <w:t>” and any such issuance,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7(b) in respect of an Exempt Issuance. The Corporation shall notify the Holders in writing, no later than the Trading Day following the issuance of any Common Stock or Common Stock Equivalents subject to this Section 7(b), indicating therein the applicable issuance price, or applicable reset price, exchange price, conversion price and other pricing terms (such notice, the “</w:t>
      </w:r>
      <w:r>
        <w:rPr>
          <w:rFonts w:ascii="Times New Roman;Times;Serif" w:hAnsi="Times New Roman;Times;Serif"/>
          <w:b w:val="false"/>
          <w:i w:val="false"/>
          <w:caps w:val="false"/>
          <w:smallCaps w:val="false"/>
          <w:sz w:val="20"/>
          <w:u w:val="single"/>
        </w:rPr>
        <w:t>Dilutive Issuance Notice</w:t>
      </w:r>
      <w:r>
        <w:rPr>
          <w:rFonts w:ascii="Times New Roman;Times;Serif" w:hAnsi="Times New Roman;Times;Serif"/>
          <w:b w:val="false"/>
          <w:i w:val="false"/>
          <w:caps w:val="false"/>
          <w:smallCaps w:val="false"/>
          <w:sz w:val="20"/>
        </w:rPr>
        <w:t>”). For purposes of clarification, whether or not the Corporation provides a Dilutive Issuance Notice pursuant to this Section 7(b),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If, at any time while any shares of the Preferred Stock remain outstanding,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any shares of Preferred Stock remain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conversion of this Preferred Stock, the Holder shall have the right to receive, for each Conversion Share that would have been issuable upon such conversion immediately prior to the occurrence of such Fundamental Transaction (without regard to any limitation in Section 6(d) and Section 6(e) on the conversion of this Preferred Stock), the number of shares of Common Stock of the successor or acquiring corporation or of the Corporation,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Preferred Stock is convertible immediately prior to such Fundamental Transaction (without regard to any limitation in Section 6(d) and Section 6(e) on the conversion of this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Corporation under this Certificate of Designation and the other Transaction Documents in accordance with the provisions of this Section 7(e) pursuant to written 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the 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Conversion Price</w:t>
      </w:r>
      <w:r>
        <w:rPr>
          <w:rFonts w:ascii="Times New Roman;Times;Serif" w:hAnsi="Times New Roman;Times;Serif"/>
          <w:b w:val="false"/>
          <w:i w:val="false"/>
          <w:caps w:val="false"/>
          <w:smallCaps w:val="false"/>
          <w:sz w:val="20"/>
        </w:rPr>
        <w:t>. Whenever the Conversion Price is adjusted pursuant to any provision of this Section 7, the Corporation shall promptly deliver to each Holder by email a notice setting forth the Conversion Price after such adjustment and setting forth a brief statement of the facts requiring such adjustment.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Conversion by Holder</w:t>
      </w:r>
      <w:r>
        <w:rPr>
          <w:rFonts w:ascii="Times New Roman;Times;Serif" w:hAnsi="Times New Roman;Times;Serif"/>
          <w:b w:val="false"/>
          <w:i w:val="false"/>
          <w:caps w:val="false"/>
          <w:smallCaps w:val="false"/>
          <w:sz w:val="20"/>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shareholders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by email to each Holder at its last email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the Corporation shall simultaneously file such notice with the Commission pursuant to a Current Report on Form 8-K. The Holder shall remain entitled to convert the Conversion Amount of this Preferred Stock (or any part hereof) during the 20-day period commencing on the date of such notice through the effective date of the event triggering such notice except as may otherwise be expressly set forth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B-17</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As long as at least [_____]shares of Preferred Stock are outstanding, unless the Required Holders shall have otherwise given prior written consent, the Corporation shall not directly or indirectly: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than Permitted Indebtedness, enter into, create, incur, assume, guarantee or suffer to exist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Permitted Liens, enter into, create, incur, assume or suffer to exist any Liens of any kind, on or with respect to any of its property or assets now owned or hereafter acquired or any interest therein or any income or profits therefrom;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amend its charter documents, including, without limitation, its articles of incorporation and bylaws, in any manner that materially and adversely affects any rights of the Holders, including authorizing or creating any class of capital stock ranking as to dividends, redemption or distribution of assets upon a Liquidation (as defined in Section 5) senior to, or </w:t>
      </w:r>
      <w:r>
        <w:rPr>
          <w:rFonts w:ascii="Times New Roman;Times;Serif" w:hAnsi="Times New Roman;Times;Serif"/>
          <w:b w:val="false"/>
          <w:i w:val="false"/>
          <w:caps w:val="false"/>
          <w:smallCaps w:val="false"/>
          <w:sz w:val="20"/>
          <w:u w:val="single"/>
        </w:rPr>
        <w:t xml:space="preserve">pari passu </w:t>
      </w:r>
      <w:r>
        <w:rPr>
          <w:rFonts w:ascii="Times New Roman;Times;Serif" w:hAnsi="Times New Roman;Times;Serif"/>
          <w:b w:val="false"/>
          <w:i w:val="false"/>
          <w:caps w:val="false"/>
          <w:smallCaps w:val="false"/>
          <w:sz w:val="20"/>
        </w:rPr>
        <w:t>with, the Preferred Stock, provided that nothing herein shall limit the Corporation’s right to file additional Certificates of Designation to designate the rights, preferences, restrictions and other matters relating to one or more additional series of Preferred Stock as contemplated by the terms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repay, repurchase or offer to repay, repurchase or otherwise acquire more than a </w:t>
      </w:r>
      <w:r>
        <w:rPr>
          <w:rFonts w:ascii="Times New Roman;Times;Serif" w:hAnsi="Times New Roman;Times;Serif"/>
          <w:b w:val="false"/>
          <w:i w:val="false"/>
          <w:caps w:val="false"/>
          <w:smallCaps w:val="false"/>
          <w:sz w:val="20"/>
          <w:u w:val="single"/>
        </w:rPr>
        <w:t>de minimis</w:t>
      </w:r>
      <w:r>
        <w:rPr>
          <w:rFonts w:ascii="Times New Roman;Times;Serif" w:hAnsi="Times New Roman;Times;Serif"/>
          <w:b w:val="false"/>
          <w:i w:val="false"/>
          <w:caps w:val="false"/>
          <w:smallCaps w:val="false"/>
          <w:sz w:val="20"/>
        </w:rPr>
        <w:t xml:space="preserve"> number of shares of its Common Stock, Common Stock Equivalents or Junior Securities, other than as to (i) the Conversion Shares or Warrant Shares as permitted or required under the Transaction Documents and (ii) repurchases of Common Stock or Common Stock Equivalents of departing officers and directors of the Corporation, provided that such repurchases shall not exceed an aggregate of $100,000 for all officers and directors for so long as the Preferred Stock is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pay cash dividends or distributions on Junior Securities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any transaction with any Affiliate of the Corporation which would be required to be disclosed in any public filing with the Commission (as determined by counsel to the Corporation), unless such transaction is made on an arm’s-length basis and expressly approved by a majority of the disinterested directors of the Corporation (even if less than a quorum otherwise required for Board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enter into any agreement with respect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Conversion, shall be in writing and delivered personally, by e-mail attachment, or sent by a nationally recognized overnight courier service, addressed to the Corporation, at the address set forth above Attention: [_____], e-mail address: [_____] ,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attachment,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at the e-mail address set forth in this Section prior to 5:30 p.m. (New York City time) on any date, (ii) the next Trading Day after the date of transmission, if such notice or communication is delivered via e-mail attachment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Absolute Obligation</w:t>
      </w:r>
      <w:r>
        <w:rPr>
          <w:rFonts w:ascii="Times New Roman;Times;Serif" w:hAnsi="Times New Roman;Times;Serif"/>
          <w:b w:val="false"/>
          <w:i w:val="false"/>
          <w:caps w:val="false"/>
          <w:smallCaps w:val="false"/>
          <w:sz w:val="20"/>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Lost or Mutilated Preferred Stock Certificate</w:t>
      </w:r>
      <w:r>
        <w:rPr>
          <w:rFonts w:ascii="Times New Roman;Times;Serif" w:hAnsi="Times New Roman;Times;Serif"/>
          <w:b w:val="false"/>
          <w:i w:val="false"/>
          <w:caps w:val="false"/>
          <w:smallCaps w:val="false"/>
          <w:sz w:val="20"/>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Certificate of Designation shall be governed by and construed and enforced in accordance with the internal laws of the State of Nevada, without regard to the principles of conflict of laws thereof.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Times;Serif" w:hAnsi="Times New Roman;Times;Serif"/>
          <w:b w:val="false"/>
          <w:i w:val="false"/>
          <w:caps w:val="false"/>
          <w:smallCaps w:val="false"/>
          <w:sz w:val="20"/>
          <w:u w:val="single"/>
        </w:rPr>
        <w:t>New York Courts</w:t>
      </w:r>
      <w:r>
        <w:rPr>
          <w:rFonts w:ascii="Times New Roman;Times;Serif" w:hAnsi="Times New Roman;Times;Serif"/>
          <w:b w:val="false"/>
          <w:i w:val="false"/>
          <w:caps w:val="false"/>
          <w:smallCaps w:val="false"/>
          <w:sz w:val="20"/>
        </w:rPr>
        <w:t>”). The Corporation and each Holder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The Corporation and each Holder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The Corporation and each Holder hereby irrevocably waives, to the fullest extent permitted by applicable law, any and all right to trial by jury in any legal proceeding arising out of or relating to this Certificate of Designation or the transactions contemplated hereby. If the Corporation or any Holder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 Except as otherwise provided herein, any of the powers, designations, preferences, rights and other terms of the Preferred Stock may be waived on behalf of all holders of Preferred Stock by the affirmative vote or written consent of the Requisite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Next Business Day</w:t>
      </w:r>
      <w:r>
        <w:rPr>
          <w:rFonts w:ascii="Times New Roman;Times;Serif" w:hAnsi="Times New Roman;Times;Serif"/>
          <w:b w:val="false"/>
          <w:i w:val="false"/>
          <w:caps w:val="false"/>
          <w:smallCaps w:val="false"/>
          <w:sz w:val="20"/>
        </w:rPr>
        <w:t>. Whenever any payment or other obligation hereunder shall be due on a day other than a Business Day, such payment shall be made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contained herein are for convenience only, do not constitute a part of this Certificate of Designation and shall not be deemed to limit or affect any of the provisions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Status of Converted or Redeemed Preferred Stock</w:t>
      </w:r>
      <w:r>
        <w:rPr>
          <w:rFonts w:ascii="Times New Roman;Times;Serif" w:hAnsi="Times New Roman;Times;Serif"/>
          <w:b w:val="false"/>
          <w:i w:val="false"/>
          <w:caps w:val="false"/>
          <w:smallCaps w:val="false"/>
          <w:sz w:val="20"/>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[_____] Preferred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compliance with any applicable securities laws and Section 4.1 of the Purchase Agreement, the Preferred Stock and all rights arising therefrom or relating thereto (including, without limitation, any registration rights) are transferable, in whole or in part, by the Holder in the manner and to the Persons as permitted under Section 5.7 of the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B-21</w:t>
      </w:r>
    </w:p>
    <w:p>
      <w:pPr>
        <w:pStyle w:val="TextBody"/>
        <w:bidi w:val="0"/>
        <w:spacing w:before="0" w:after="0"/>
        <w:ind w:left="0" w:right="0" w:hanging="0"/>
        <w:jc w:val="left"/>
        <w:rPr/>
      </w:pPr>
      <w:r>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FURTHER</w:t>
      </w:r>
      <w:r>
        <w:rPr>
          <w:rFonts w:ascii="Times New Roman;Times;Serif" w:hAnsi="Times New Roman;Times;Serif"/>
          <w:b w:val="false"/>
          <w:i w:val="false"/>
          <w:caps w:val="false"/>
          <w:smallCaps w:val="false"/>
          <w:sz w:val="20"/>
        </w:rPr>
        <w:t>, that the Chief Executive Officer, Chief Financial Officer, and the Secretary or any Assistant Secretary, of the Corporation be, and each of them hereby is authorized and directed to prepare and file this Certificate of Designation of Preferences, Rights and Limitations in accordance with the foregoing resolution and the provisions of Nevada law.</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this [___] day of [_____].</w:t>
      </w:r>
    </w:p>
    <w:p>
      <w:pPr>
        <w:pStyle w:val="TextBody"/>
        <w:bidi w:val="0"/>
        <w:spacing w:before="0" w:after="0"/>
        <w:ind w:left="0" w:right="0" w:firstLine="916"/>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605"/>
      </w:tblGrid>
      <w:tr>
        <w:trPr/>
        <w:tc>
          <w:tcPr>
            <w:tcW w:w="75"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r>
    </w:tbl>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B-22</w:t>
      </w:r>
    </w:p>
    <w:p>
      <w:pPr>
        <w:pStyle w:val="TextBody"/>
        <w:bidi w:val="0"/>
        <w:spacing w:before="0" w:after="0"/>
        <w:ind w:left="0" w:right="0" w:hanging="0"/>
        <w:jc w:val="left"/>
        <w:rPr/>
      </w:pPr>
      <w:r>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B-23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39" w:name="a019"/>
      <w:bookmarkEnd w:id="39"/>
      <w:r>
        <w:rPr>
          <w:rFonts w:ascii="Times New Roman;Times;Serif" w:hAnsi="Times New Roman;Times;Serif"/>
          <w:b/>
          <w:i w:val="false"/>
          <w:caps w:val="false"/>
          <w:smallCaps w:val="false"/>
          <w:sz w:val="20"/>
          <w:u w:val="single"/>
        </w:rPr>
        <w:t>APPENDIX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EXPION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in accordance with the provisions</w:t>
        <w:br/>
        <w:t>of Section 78.390 of the Nevada Revised Statutes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 Energy, Inc. (the “Corporation”), a corporation organized and existing under the laws of the State of Nevada, by its duly authorized officer, does hereby certify: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the Corporation has duly adopted a resolution pursuant to Section 78.390 of the Nevada Revised Statutes (“NRS”) setting forth a proposed amendment (this “Certificate of Amendment”) to the Articles of Incorporation of the Corporation, as amended by that certain Certificate of Amendment, effective October 8, 2024, and that certain Certificate of Change, effective July 21, 2026 (as amended, the “Articles of Incorporation”), and declared this Certificate of Amendment to be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The requisite stockholders of the Corporation have duly approved this Certificate of Amendment in accordance with Section 78.390 of the NRS.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This Certificate of Amendment amends the Articles of Incorporation of the Corporation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paragraph of Section 1 of ARTICLE IV of the Articles of Incorporation shall be amended and restated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caps w:val="false"/>
          <w:smallCaps w:val="false"/>
          <w:sz w:val="20"/>
        </w:rPr>
        <w:t>Authorized Capital Stock</w:t>
      </w:r>
      <w:r>
        <w:rPr>
          <w:rFonts w:ascii="Times New Roman;Times;Serif" w:hAnsi="Times New Roman;Times;Serif"/>
          <w:b w:val="false"/>
          <w:i w:val="false"/>
          <w:caps w:val="false"/>
          <w:smallCaps w:val="false"/>
          <w:sz w:val="20"/>
        </w:rPr>
        <w:t>. The Corporation shall have the authority to issue an aggregate of 220,000,000 shares of capital stock, par value $0.001 per share, consisting of 200,000,000 shares of common stock, par value $0.001 per share (“Common Stock”) and 20,000,000 shares of preferred stock, par value $0.001 per share (“Preferred Stock”). Common Stock and Preferred Stock may be issued from time to time by the Corporation for such consideration as shall be determined by the board of directors of the Corporation. The capital stock of the Corporation, after the consideration therefor has been fully paid, shall not be assessable for any purpose, and no stock issued as fully paid shall ever be assessable or assessed, and these Articles of Incorporation (as the same may be further amended from time to time, the “Articles of Incorporation”) shall not be amended in this particular. No stockholder of the Corporation shall be individually liable for the debts or liabilities of the Corporation.”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This Certificate of Amendment shall be effective as of ____ at ____ Pacific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of the Articles of Incorporation to be executed by [_____], its Chief Executive Officer, this [___] day of [___], [___].</w:t>
      </w:r>
    </w:p>
    <w:p>
      <w:pPr>
        <w:pStyle w:val="TextBody"/>
        <w:bidi w:val="0"/>
        <w:spacing w:before="0" w:after="0"/>
        <w:ind w:left="0" w:right="0" w:firstLine="720"/>
        <w:jc w:val="left"/>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75"/>
        <w:gridCol w:w="400"/>
        <w:gridCol w:w="1734"/>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EXPION ENERGY, INC.</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68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C-2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40" w:name="a020"/>
      <w:bookmarkEnd w:id="40"/>
      <w:r>
        <w:rPr>
          <w:rFonts w:ascii="Times New Roman;Times;Serif" w:hAnsi="Times New Roman;Times;Serif"/>
          <w:b/>
          <w:i w:val="false"/>
          <w:caps w:val="false"/>
          <w:smallCaps w:val="false"/>
          <w:sz w:val="20"/>
          <w:u w:val="single"/>
        </w:rPr>
        <w:t>APPENDIX D</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EXPION ENERGY,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in accordance with the provisions</w:t>
        <w:br/>
        <w:t>of Section 78.390 of the Nevada Revised Statutes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Expion Energy, Inc. (the “Corporation”), a corporation organized and existing under the laws of the State of Nevada, by its duly authorized officer, does hereby certify: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That the Board of Directors of the Corporation has duly adopted a resolution pursuant to Section 78.390 of the Nevada Revised Statutes (“NRS”) setting forth a proposed amendment (this “Certificate of Amendment”) to the Articles of Incorporation of the Corporation, as amended by that certain Certificate of Amendment, effective October 8, 2024, and that certain Certificate of Change, effective July 21, 2026 (as amended, the “Articles of Incorporation”), and declared this Certificate of Amendment to be advisable.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The requisite stockholders of the Corporation have duly approved this Certificate of Amendment in accordance with Section 78.390 of the NRS.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This Certificate of Amendment amends the Articles of Incorporation of the Corporation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Articles of Incorporation shall be amended by adding a new Section 3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144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The shares of Preferred Stock may be issued from time to time in one or more series. The board of directors of the Corporation is hereby empowered to authorize by resolution(s) from time to time the issuance of one or more series of shares of Preferred Stock and, by filing a certificate of designation pursuant to NRS 78.1955, to establish from time to time the number of shares to be included in each such series and to fix the voting powers, designations, preferences, limitations, restrictions and relative rights, including, without limitation, the dividend rate, conversion or exchange rights, redemption price and liquidation preference, of any series of shares of Preferred Stock. The board of directors is also expressly authorized to increase or decrease the number of shares of any such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This Certificate of Amendment shall be effective as of ____ at ____ Pacific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of the Articles of Incorporation to be executed by [_____], its Chief Executive Officer, this [___] day of [___], [___].</w:t>
      </w:r>
    </w:p>
    <w:p>
      <w:pPr>
        <w:pStyle w:val="TextBody"/>
        <w:bidi w:val="0"/>
        <w:spacing w:before="0" w:after="0"/>
        <w:ind w:left="0" w:right="0" w:firstLine="720"/>
        <w:jc w:val="left"/>
        <w:rPr>
          <w:caps w:val="false"/>
          <w:smallCaps w:val="false"/>
        </w:rPr>
      </w:pPr>
      <w:r>
        <w:rPr>
          <w:caps w:val="false"/>
          <w:smallCaps w:val="false"/>
        </w:rPr>
        <w:t> </w:t>
      </w:r>
    </w:p>
    <w:tbl>
      <w:tblPr>
        <w:tblW w:w="2209" w:type="dxa"/>
        <w:jc w:val="left"/>
        <w:tblInd w:w="0" w:type="dxa"/>
        <w:tblLayout w:type="fixed"/>
        <w:tblCellMar>
          <w:top w:w="0" w:type="dxa"/>
          <w:left w:w="0" w:type="dxa"/>
          <w:bottom w:w="0" w:type="dxa"/>
          <w:right w:w="0" w:type="dxa"/>
        </w:tblCellMar>
      </w:tblPr>
      <w:tblGrid>
        <w:gridCol w:w="75"/>
        <w:gridCol w:w="400"/>
        <w:gridCol w:w="1734"/>
      </w:tblGrid>
      <w:tr>
        <w:trPr/>
        <w:tc>
          <w:tcPr>
            <w:tcW w:w="75" w:type="dxa"/>
            <w:tcBorders/>
            <w:vAlign w:val="center"/>
          </w:tcPr>
          <w:p>
            <w:pPr>
              <w:pStyle w:val="TableContents"/>
              <w:bidi w:val="0"/>
              <w:spacing w:before="0" w:after="283"/>
              <w:jc w:val="left"/>
              <w:rPr/>
            </w:pPr>
            <w:r>
              <w:rPr/>
              <w:t> </w:t>
            </w:r>
          </w:p>
        </w:tc>
        <w:tc>
          <w:tcPr>
            <w:tcW w:w="21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EXPION ENERGY, INC.</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r>
        <w:trPr/>
        <w:tc>
          <w:tcPr>
            <w:tcW w:w="7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173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w:t>
            </w:r>
          </w:p>
        </w:tc>
      </w:tr>
    </w:tbl>
    <w:p>
      <w:pPr>
        <w:pStyle w:val="TextBody"/>
        <w:bidi w:val="0"/>
        <w:spacing w:before="0" w:after="0"/>
        <w:ind w:left="4860" w:right="0" w:hanging="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D-2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41" w:name="a021"/>
      <w:bookmarkEnd w:id="41"/>
      <w:r>
        <w:rPr>
          <w:rFonts w:ascii="Times New Roman;Times;Serif" w:hAnsi="Times New Roman;Times;Serif"/>
          <w:b/>
          <w:i w:val="false"/>
          <w:caps w:val="false"/>
          <w:smallCaps w:val="false"/>
          <w:sz w:val="20"/>
          <w:u w:val="single"/>
        </w:rPr>
        <w:t>APPENDIX 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 AMENDMENT TO THE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EXPION ENERGY, INC. 2021 INCENTIVE AWARD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(this “</w:t>
      </w:r>
      <w:r>
        <w:rPr>
          <w:rFonts w:ascii="Times New Roman;Times;Serif" w:hAnsi="Times New Roman;Times;Serif"/>
          <w:b/>
          <w:i/>
          <w:caps w:val="false"/>
          <w:smallCaps w:val="false"/>
          <w:sz w:val="20"/>
        </w:rPr>
        <w:t>Third Plan Amendment</w:t>
      </w:r>
      <w:r>
        <w:rPr>
          <w:rFonts w:ascii="Times New Roman;Times;Serif" w:hAnsi="Times New Roman;Times;Serif"/>
          <w:b w:val="false"/>
          <w:i w:val="false"/>
          <w:caps w:val="false"/>
          <w:smallCaps w:val="false"/>
          <w:sz w:val="20"/>
        </w:rPr>
        <w:t>”) to the Expion Energy, Inc. 2021 Incentive Award Plan (as may be amended from time to time, the “</w:t>
      </w:r>
      <w:r>
        <w:rPr>
          <w:rFonts w:ascii="Times New Roman;Times;Serif" w:hAnsi="Times New Roman;Times;Serif"/>
          <w:b/>
          <w:i/>
          <w:caps w:val="false"/>
          <w:smallCaps w:val="false"/>
          <w:sz w:val="20"/>
        </w:rPr>
        <w:t>2021 Plan</w:t>
      </w:r>
      <w:r>
        <w:rPr>
          <w:rFonts w:ascii="Times New Roman;Times;Serif" w:hAnsi="Times New Roman;Times;Serif"/>
          <w:b w:val="false"/>
          <w:i w:val="false"/>
          <w:caps w:val="false"/>
          <w:smallCaps w:val="false"/>
          <w:sz w:val="20"/>
        </w:rPr>
        <w:t>”) is made on [__________]. Capitalized terms used but not defined herein have the meanings ascribed to such terms in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11.4 of the 2021 Plan authorizes the Board of Directors to amend the 2021 Plan at any time, subject to stockholder approval to the extent required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changed its name to Expion Energy, Inc., effective August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desires to amend the 2021 Plan to change the name of the Company and to amend and restate the definition of Overall Share Limit to increase the aggregate number of shares issuable under the 2021 Plan by 250,000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amendment and restatement of the definition of Overall Share Limit that has the effect of increasing the number of shares issuable under the 2021 Plan requires stockholder approval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Third Plan Amendment shall be submitted to the Company’s stockholders for approval, and shall become effective as of the date on which the Company’s stockholders approve this Third Plan Amendment (the “</w:t>
      </w:r>
      <w:r>
        <w:rPr>
          <w:rFonts w:ascii="Times New Roman;Times;Serif" w:hAnsi="Times New Roman;Times;Serif"/>
          <w:b/>
          <w:i/>
          <w:caps w:val="false"/>
          <w:smallCaps w:val="false"/>
          <w:sz w:val="20"/>
        </w:rPr>
        <w:t>Third Amendment Effective Date</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if the Company’s stockholders fail to approve this Third Plan Amendment, the 2021 Plan as in effect prior to the Third Amendment Effective Date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pursuant to Section 11.4 of the 2021 Plan, the 2021 Plan is hereby amended as follows, effective as of the Third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2021 Plan is hereby amended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EXPION ENERGY, INC. 2021 INCENTIVE AWARD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Section 2.11 of the 2021 Plan is hereby amended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means Expion Energy, Inc., a Nevada corporation, or any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Section 2.30 of the 2021 Plan is hereby amended and restated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Overall Share Limit</w:t>
      </w:r>
      <w:r>
        <w:rPr>
          <w:rFonts w:ascii="Times New Roman;Times;Serif" w:hAnsi="Times New Roman;Times;Serif"/>
          <w:b w:val="false"/>
          <w:i w:val="false"/>
          <w:caps w:val="false"/>
          <w:smallCaps w:val="false"/>
          <w:sz w:val="20"/>
        </w:rPr>
        <w:t>” means the sum of (i) [_____ ] plus (ii) any Shares that are subject to Awards that become available for issuance under the Plan pursuant to Article V plus (iii) an increase commencing on January 1, 2022 and continuing annually on the anniversary thereof through (and including) January 1, 2031, equal to the lesser of (A) 5% of the aggregate number of shares of all classes of the Company’s common stock outstanding on the last day of the immediately preceding calendar year and (B) such smaller number of Shares as determined by the Board or the Committee plus (iv) an additional 250,000 Shares as of the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new Section 2.49 is hereby added to the 2021 Plan, and shall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Third Amendment Effective Date</w:t>
      </w:r>
      <w:r>
        <w:rPr>
          <w:rFonts w:ascii="Times New Roman;Times;Serif" w:hAnsi="Times New Roman;Times;Serif"/>
          <w:b w:val="false"/>
          <w:i w:val="false"/>
          <w:caps w:val="false"/>
          <w:smallCaps w:val="false"/>
          <w:sz w:val="20"/>
        </w:rPr>
        <w:t>” means the date the stockholders of the Company approve the amendment to the Plan proposed to such stockholders of the Company’s 2026 annual proxy statement.”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references to “Expion360 Inc.” shall be changed to “Expion Energy, Inc.” in all Award Agreements and Grant Notices issued pursuant to the 2021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Third Plan Amendment may be executed in one or more facsimile, electronic or original counterpart, each of which shall be deemed an original and both of which together shall constitute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terms and provisions of the 2021 Plan, the Award Agreements and the Grant Notices not amended hereby shall remain in full force and effect. From and after the Third Amendment Effective Date, all references to the term “Plan,” “Third Amendment Effective Date” or “2021 Plan” in this Third Plan Amendment or the 2021 Plan shall include the terms contained in this Third Plan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E-2</w:t>
      </w:r>
    </w:p>
    <w:p>
      <w:pPr>
        <w:pStyle w:val="TextBody"/>
        <w:bidi w:val="0"/>
        <w:spacing w:before="0" w:after="0"/>
        <w:jc w:val="center"/>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69288</Words>
  <Characters>365826</Characters>
  <CharactersWithSpaces>436742</CharactersWithSpaces>
  <Paragraphs>3944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