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001-41347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81-2701049</w:t>
      </w:r>
    </w:p>
    <w:p>
      <w:pPr>
        <w:spacing w:after="0" w:line="104" w:lineRule="exact"/>
        <w:rPr>
          <w:sz w:val="24"/>
          <w:szCs w:val="24"/>
          <w:color w:val="auto"/>
        </w:rPr>
      </w:pPr>
    </w:p>
    <w:p>
      <w:pPr>
        <w:sectPr>
          <w:pgSz w:w="11900" w:h="16838" w:orient="portrait"/>
          <w:cols w:equalWidth="0" w:num="3">
            <w:col w:w="4640" w:space="720"/>
            <w:col w:w="2920" w:space="720"/>
            <w:col w:w="2240"/>
          </w:cols>
          <w:pgMar w:left="320" w:top="738" w:right="339" w:bottom="1440" w:gutter="0" w:footer="0" w:header="0"/>
          <w:type w:val="continuous"/>
        </w:sect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43"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738"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SW Deerhound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Redmond, OR 97756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(541) 797-6714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920" w:hanging="575"/>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920" w:hanging="575"/>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920" w:hanging="575"/>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left="920" w:hanging="575"/>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83"/>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5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00" w:type="dxa"/>
            <w:vAlign w:val="bottom"/>
          </w:tcPr>
          <w:p>
            <w:pPr>
              <w:spacing w:after="0"/>
              <w:rPr>
                <w:sz w:val="22"/>
                <w:szCs w:val="22"/>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56"/>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XPON</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211"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17, 2026, Expion360 Inc. (the “Company”) issued a press release announcing its financial results for the fourth quarter and year ended December 31, 2025. A copy of the press release is furnished hereto as Exhibit 99.1.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provided in Item 2.02 of this Current Report, including Exhibit 99.1 attached hereto, is being furnished and shall not be deemed “filed” for purposes of Section 18 of the Securities Exchange Act of 1934, as amended (the “Exchange Act”), or otherwise subject to the liabilities of that section. Such information shall not be deemed incorporated by reference into any filing of the Company under the Securities Act of 1933, as amended, or the Exchange Act, whether made before or after the date hereof, regardless of any general incorporation language in such filing, except as otherwise expressly set forth by specific reference in such filing.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 w:type="dxa"/>
            <w:vAlign w:val="bottom"/>
          </w:tcPr>
          <w:p>
            <w:pPr>
              <w:spacing w:after="0"/>
              <w:rPr>
                <w:sz w:val="20"/>
                <w:szCs w:val="20"/>
                <w:color w:val="auto"/>
              </w:rPr>
            </w:pPr>
          </w:p>
        </w:tc>
        <w:tc>
          <w:tcPr>
            <w:tcW w:w="10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4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75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EE"/>
              </w:rPr>
              <w:t>Press Release, dated March 17,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88"/>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EXPION360 INC.</w:t>
            </w:r>
          </w:p>
        </w:tc>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3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17, 2026</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i w:val="1"/>
                <w:iCs w:val="1"/>
                <w:color w:val="auto"/>
              </w:rPr>
              <w:t>/s/ Shawna Bowin</w:t>
            </w:r>
          </w:p>
        </w:tc>
        <w:tc>
          <w:tcPr>
            <w:tcW w:w="220" w:type="dxa"/>
            <w:vAlign w:val="bottom"/>
          </w:tcPr>
          <w:p>
            <w:pPr>
              <w:spacing w:after="0"/>
              <w:rPr>
                <w:sz w:val="24"/>
                <w:szCs w:val="24"/>
                <w:color w:val="auto"/>
              </w:rPr>
            </w:pPr>
          </w:p>
        </w:tc>
      </w:tr>
      <w:tr>
        <w:trPr>
          <w:trHeight w:val="270"/>
        </w:trPr>
        <w:tc>
          <w:tcPr>
            <w:tcW w:w="4520" w:type="dxa"/>
            <w:vAlign w:val="bottom"/>
          </w:tcPr>
          <w:p>
            <w:pPr>
              <w:spacing w:after="0"/>
              <w:rPr>
                <w:sz w:val="23"/>
                <w:szCs w:val="23"/>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Shawna Bowin</w:t>
            </w:r>
          </w:p>
        </w:tc>
        <w:tc>
          <w:tcPr>
            <w:tcW w:w="220" w:type="dxa"/>
            <w:vAlign w:val="bottom"/>
          </w:tcPr>
          <w:p>
            <w:pPr>
              <w:spacing w:after="0"/>
              <w:rPr>
                <w:sz w:val="23"/>
                <w:szCs w:val="23"/>
                <w:color w:val="auto"/>
              </w:rPr>
            </w:pPr>
          </w:p>
        </w:tc>
      </w:tr>
      <w:tr>
        <w:trPr>
          <w:trHeight w:val="310"/>
        </w:trPr>
        <w:tc>
          <w:tcPr>
            <w:tcW w:w="452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24"/>
                <w:szCs w:val="24"/>
                <w:color w:val="auto"/>
              </w:rPr>
            </w:pPr>
          </w:p>
        </w:tc>
      </w:tr>
      <w:tr>
        <w:trPr>
          <w:trHeight w:val="385"/>
        </w:trPr>
        <w:tc>
          <w:tcPr>
            <w:tcW w:w="45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ind w:left="100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156845</wp:posOffset>
            </wp:positionV>
            <wp:extent cx="337756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775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232A31"/>
        </w:rPr>
        <w:t>Expion360 Reports Fourth Quarter and Full Year 2025 Financial and Operational Results</w:t>
      </w: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232A31"/>
        </w:rPr>
        <w:t>FY 2025 Sales Growth of 72% to $9.7 Million Driven by Strong Demand for Battery Products, Accessories and Technologies</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232A31"/>
        </w:rPr>
        <w:t>Next Generation Products for Industrial and Construction Applications to Expand Market Opportunities</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REDMOND, OR – March 17, 2026 – </w:t>
      </w:r>
      <w:r>
        <w:rPr>
          <w:rFonts w:ascii="Times New Roman" w:cs="Times New Roman" w:eastAsia="Times New Roman" w:hAnsi="Times New Roman"/>
          <w:sz w:val="18"/>
          <w:szCs w:val="18"/>
          <w:color w:val="auto"/>
        </w:rPr>
        <w:t>Expion360 Inc. (Nasdaq: XPON) (“Expion360” or the “Company”), an industry leader in lithium iron phosphate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(“LiFePO4”) battery power storage solutions, today reported its financial and operational results for the fourth quarter and year ended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2025 and Subsequent Financial and Operational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for the year ended December 31, 2025 totaled $9.7 million, a 72% increase compared to $5.6 million for the same period in 2024.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year ended December 31, 2025 totaled $1.3 million, a 16% increase compared to $1.2 million for the same period in 2024.</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operations for the year ended December 31, 2025 was $6.1 million, compared to $9.6 million for the same period in 2024, a 36% improvement.</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totaled $3.0 million as of December 31, 2025, compared to $0.5 million as of December 31,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was $6.0 million as of December 31, 2025, compared to $2.0 million as of December 31,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totaled $6.5 million as of December 31, 2025, compared to $2.5 million as of December 31,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veteran financial executive and director Joseph Hammer as Chief Executive Officer and Chairman of the Board of Directors to lead strategic direction and next phase of growth.</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strategic partnership related to the launch of the DASGen Hybrid Energy Storage System, an energy storage solution intended for use on construction and industrial job sites, marking Expion360’s entry into the industrial market.</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upcoming release of three next-generation battery models, with commercial availability expected in the second half of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year ended December 31, 2025 was highlighted by improved revenue and gross profit, driven by strong product sales of our next-generation technologies and batteries,” Joseph Hammer, Chief Executive Officer and Chairman of the Board of Directors of Expion360. “Net sales grew 72% to $9.7 million in 2025 compared to $5.6 million in 2024. Gross profit rose by 16% to $1.3 million in 2025 compared to $1.2 million in 2024. Sales improved for our premium LiFePO4 batteries and accessories on strong demand as the RV market continued to gain momentum, and from our expanded outreach to OEMs and successful onboarding of new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“Moving into 2026, we remain focused on the expansion of our technology with the launch of three new next generation lithium battery models and entry into the industrial market, which has been one of our strategic targets for expanding into adjacent verticals. These new models are expected to be commercially available in the second half of 2026 and build on our established presence in the RV and marine markets while addressing the growing demand for higher energy density, fully-featured battery systems in industrial and commercial applications. The batteries are expected to be offered to customers at a lower cost than current equivalent models, while delivering higher capacity and improved performance. At the same time, the updated designs are expected to improve internal cost structure and margins, enabling increased reinvestment in product development and long-term customer value.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recently partnered with Dealer Accessory Supply to launch the DASGen Hybrid Energy Storage System, an energy storage solution intended for use on construction and industrial job sites. The system will be powered by Expion360 battery technology and is designed to operate as an energy buffer between diesel generators and jobsite electrical loads. The system is intended to store and deploy energy based on load requirements, which may allow generators to operate fewer hours and at higher efficiency, depending on site conditions and usage patterns. With successful results from test-site performance and early interest from leading construction firms, we look forward to offering the system to end customers through our commercial sales organization.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technology roadmap includes plans to expand our portfolio and explore the development of potential new revenue streams, including higher-density lithium-ion and LiFePO4 chemistries, modular platforms, and enhanced battery management systems aimed at improving safety, longevity, and overall cost efficiency for mobile and off-grid applications. We are also developing specialized energy storage solutions intended to be suitable for use in surveillance and monitoring applications. Development efforts continue to focus on next-generation storage technologies that may help lower costs, improve energy density, and support scalable manufacturing. We may also consider selective acquisitions and partnerships in power electronics and energy management as potential ways to strengthen vertical integration.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“Looking ahead, we are exploring new opportunities in the industrial and construction sectors. Our near-term priorities include expanding OEM market penetration through additional partnerships as well as the introduction of new battery features, technologies, and form factors aligned with OEM requirements. Across our end markets, we remain focused on innovation, thoughtful margin improvement, and measured growth in areas where we believe there is consistent demand and long-term growth opportunities,” concluded Mr. Hammer.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Summary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net sales totaled $9.7 million, an increase of 72% from $5.6 million in the prior year period. The increase in net sales was primarily attributable to the expansion of our customer base, increased sales to key customers, and broader adoption of our lithium iron phosphate battery platforms across distribution and OEM channels.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for the year ended December 31, 2025 totaled $1.3 million, an increase of 16% compared to $1.2 million in the prior year period. Gross margin as a percent of net sales decreased from 21% for 2024 to 14% for 2025. This change is primarily due to a one-time adjustment for obsolete inventory, which affected our cost of sales, resulting in a decrease in gross profit. Gross profit for the year ended December 31, 2025 prior to that adjustment would have been $2.2 million and would have represented 23% of net sales, compared to 21%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2025 totaled $12.0 million compared to $7.9 million in the prior year period, an increase of 52% but an overall decrease as a percentage of sales from 141% of sales in 2024 to 125% of sales in 2025. The increase was primarily due to increases in salaries and benefits, legal and professional fees, and research and development, which was partially offset by a decrease in rent and associated expenses.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loss totaled $6.2 million for the year ended December 31, 2025, a $7.2 million improvement from a net loss of $13.5 million in the prior year period. The improvement was driven by increased sales resulting in improved gross profit, as well as improvements in other income and expense, including the removal of the suspended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totaled $3.0 million as of December 31, 2025, compared to $0.5 million as of December 31, 2024, an increase of $2.4 million,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442%. Working capital totaled $6.0 million as of December 31, 2025, compared to $2.0 million as of December 31, 2024, an increase of $4.0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 Stockholders’ equity was $6.5 million as of December 31, 2025, compared to $2.5 million as of December 31, 2024, an increase of $4.0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decreased to $6.1 million from $9.6 million in the prior year period. Change in inventory levels due to timing within our supply chain process accounted for the majority of the decrease.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Summary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fourth quarter of 2025 totaled $2.2 million, an increase of 12% from $2.0 million in the prior year period. The increase in net sales was primarily attributable to the RV market recovering from its previous slowdown, and enhanced sales efforts including expanded outreach to OEM partners, strategic marketing initiatives, and the successful onboarding of new customers during this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loss in the fourth quarter of 2025 totaled $0.3 million, compared to gross profit of $0.4 million in the prior year period. This change is due to adjusting the value of obsolete inventory, which affected our cost of sales. Without that adjustment, gross profit for the fourth quarter of 2025 would have been $0.6 million and would have represented 26% of net sales, compared to 22% in the prior year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 the fourth quarter of 2025 were $4.9 million, an increase of 201% from $1.6 million in the fourth quarter of 2024. The increase was primarily due to increases in salaries and benefits as well as legal and professional fees.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in the fourth quarter of 2025 totaled $4.4 million, compared to $0.3 million in the fourth quarter of 2024. The change was driven by increased research and development, legal fees, and salary and benefit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Expion360</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Expion360 is an industry leader in premium lithium iron phosphate (LiFePO4) batteries and accessories for recreational vehicles, marine applications, Light EV and industrial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lithium-ion batteries feature half the weight of standard lead-acid batteries while delivering three times the power and ten times the number of charging cycles. Expion360 batteries also feature better construction and reliability compared to other lithium-ion batteries on the market due to their superior design and quality materials. Specially reinforced, fiberglass-infused, premium ABS casing and solid mechanical connections help provide top performance and safety. With Expion360 batteries, adventurers can enjoy the most beautiful and remote places on Earth even longer.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headquartered in Redmond, Oregon. Expion360 lithium-ion batteries are available today through more than 300 dealers, wholesalers, private-label customers, and OEMs across the country.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the Company, visit expion360.com.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0A0A0A"/>
        </w:rPr>
        <w:t>This press release contains “forward-looking statements” within the meaning of Section 27A of the Securities Act of 1933 and Section 21E of the Securities Exchange Act of 1934, each as amended. Forward-looking statements include all statements that do not relate solely to historical or current facts, including without limitation statements regarding the Company’s business prospects, and can be identified by the use of words such as “may,” “will,” “expect,” “project,” “estimate,” “anticipate,” “plan,” “believe,” “potential,” “should,” “continue” or the negative versions of those words or other comparable words. Forward-looking statements included in this press release include, but are not limited to, statements relating to the Company’s anticipated timing of commercial availability of its products, the expected demand for its products, expectations for product features and capabilities and market opportunity, the expansion of the Company’s portfolio and the development of potential new revenue streams, and the anticipated benefits associated with the Company’s development and expansion efforts. Forward-looking statements are not guarantees of future actions or performance. These forward-looking statements are based on information currently available to the Company and its current plans or expectations and are subject to a number of risks and uncertainties that could significantly affect current plans. Should one or more of these risks or uncertainties materialize, or the underlying assumptions prove incorrect, actual results may differ significantly from those anticipated, believed, estimated, expected, intended, or planned. Although the Company believes that the expectations reflected in the forward-looking statements are reasonable, the Company cannot guarantee future results, performance, or achievements. Except as required by applicable law, including the security laws of the United States, the Company does not intend to update any of the forward-looking statements to conform these statements to actual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541-797-6714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Shawna.Bowin@expion360.com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Tyson, 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MZ Group - MZ North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949-491-8235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XPON@mzgroup.us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www.mzgroup.us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ind w:left="5040"/>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8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524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2,969,096</w:t>
            </w: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547,565</w:t>
            </w:r>
          </w:p>
        </w:tc>
      </w:tr>
      <w:tr>
        <w:trPr>
          <w:trHeight w:val="216"/>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718,964</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613,022</w:t>
            </w:r>
          </w:p>
        </w:tc>
      </w:tr>
      <w:tr>
        <w:trPr>
          <w:trHeight w:val="216"/>
        </w:trPr>
        <w:tc>
          <w:tcPr>
            <w:tcW w:w="5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1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2,858,780</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4,831,461</w:t>
            </w:r>
          </w:p>
        </w:tc>
      </w:tr>
      <w:tr>
        <w:trPr>
          <w:trHeight w:val="216"/>
        </w:trPr>
        <w:tc>
          <w:tcPr>
            <w:tcW w:w="5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Prepaid/in-transit inventory</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318,440</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1,612,686</w:t>
            </w:r>
          </w:p>
        </w:tc>
      </w:tr>
      <w:tr>
        <w:trPr>
          <w:trHeight w:val="230"/>
        </w:trPr>
        <w:tc>
          <w:tcPr>
            <w:tcW w:w="5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179,645</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236,461</w:t>
            </w:r>
          </w:p>
        </w:tc>
      </w:tr>
      <w:tr>
        <w:trPr>
          <w:trHeight w:val="20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9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7,044,925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7,841,195</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576" w:right="33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Assets</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Operating leases – right-of-use asset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Deposits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60" w:type="dxa"/>
            <w:vAlign w:val="bottom"/>
            <w:gridSpan w:val="2"/>
          </w:tcPr>
          <w:p>
            <w:pPr>
              <w:jc w:val="right"/>
              <w:ind w:right="1000"/>
              <w:spacing w:after="0" w:line="198" w:lineRule="exact"/>
              <w:rPr>
                <w:sz w:val="20"/>
                <w:szCs w:val="20"/>
                <w:color w:val="auto"/>
              </w:rPr>
            </w:pPr>
            <w:r>
              <w:rPr>
                <w:rFonts w:ascii="Times New Roman" w:cs="Times New Roman" w:eastAsia="Times New Roman" w:hAnsi="Times New Roman"/>
                <w:sz w:val="18"/>
                <w:szCs w:val="18"/>
                <w:color w:val="auto"/>
              </w:rPr>
              <w:t>807,083</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914,081</w:t>
            </w:r>
          </w:p>
        </w:tc>
        <w:tc>
          <w:tcPr>
            <w:tcW w:w="60" w:type="dxa"/>
            <w:vAlign w:val="bottom"/>
          </w:tcPr>
          <w:p>
            <w:pPr>
              <w:spacing w:after="0"/>
              <w:rPr>
                <w:sz w:val="17"/>
                <w:szCs w:val="17"/>
                <w:color w:val="auto"/>
              </w:rPr>
            </w:pPr>
          </w:p>
        </w:tc>
      </w:tr>
      <w:tr>
        <w:trPr>
          <w:trHeight w:val="248"/>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(478,861)</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(430,191)</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328,222</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483,890</w:t>
            </w:r>
          </w:p>
        </w:tc>
        <w:tc>
          <w:tcPr>
            <w:tcW w:w="60" w:type="dxa"/>
            <w:vAlign w:val="bottom"/>
          </w:tcPr>
          <w:p>
            <w:pPr>
              <w:spacing w:after="0"/>
              <w:rPr>
                <w:sz w:val="19"/>
                <w:szCs w:val="19"/>
                <w:color w:val="auto"/>
              </w:rPr>
            </w:pPr>
          </w:p>
        </w:tc>
      </w:tr>
      <w:tr>
        <w:trPr>
          <w:trHeight w:val="62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666,199</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754,832</w:t>
            </w:r>
          </w:p>
        </w:tc>
        <w:tc>
          <w:tcPr>
            <w:tcW w:w="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32,016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27,471</w:t>
            </w:r>
          </w:p>
        </w:tc>
      </w:tr>
      <w:tr>
        <w:trPr>
          <w:trHeight w:val="210"/>
        </w:trPr>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698,215</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782,303</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8,071,362</w:t>
            </w:r>
          </w:p>
        </w:tc>
        <w:tc>
          <w:tcPr>
            <w:tcW w:w="1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9,107,388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-1173480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-882650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-607695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-325120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480" w:space="720"/>
            <w:col w:w="4040"/>
          </w:cols>
          <w:pgMar w:left="320" w:top="576"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403,792</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338,091</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deposits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2,978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48,474</w:t>
            </w: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221,863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187,464</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337,246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256,153</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31,058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31,758</w:t>
            </w: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Suspended liability</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4,985,948</w:t>
            </w:r>
          </w:p>
        </w:tc>
        <w:tc>
          <w:tcPr>
            <w:tcW w:w="80" w:type="dxa"/>
            <w:vAlign w:val="bottom"/>
            <w:shd w:val="clear" w:color="auto" w:fill="CCEEFF"/>
          </w:tcPr>
          <w:p>
            <w:pPr>
              <w:spacing w:after="0"/>
              <w:rPr>
                <w:sz w:val="19"/>
                <w:szCs w:val="19"/>
                <w:color w:val="auto"/>
              </w:rPr>
            </w:pPr>
          </w:p>
        </w:tc>
      </w:tr>
      <w:tr>
        <w:trPr>
          <w:trHeight w:val="21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996,937</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5,847,888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and discount</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166,187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198,412</w:t>
            </w:r>
          </w:p>
        </w:tc>
        <w:tc>
          <w:tcPr>
            <w:tcW w:w="80" w:type="dxa"/>
            <w:vAlign w:val="bottom"/>
          </w:tcPr>
          <w:p>
            <w:pPr>
              <w:spacing w:after="0"/>
              <w:rPr>
                <w:sz w:val="18"/>
                <w:szCs w:val="18"/>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372,478</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542,764</w:t>
            </w:r>
          </w:p>
        </w:tc>
        <w:tc>
          <w:tcPr>
            <w:tcW w:w="80" w:type="dxa"/>
            <w:vAlign w:val="bottom"/>
            <w:shd w:val="clear" w:color="auto" w:fill="CCEEFF"/>
          </w:tcPr>
          <w:p>
            <w:pPr>
              <w:spacing w:after="0"/>
              <w:rPr>
                <w:sz w:val="19"/>
                <w:szCs w:val="19"/>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1,535,602</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6,589,064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par value $.001; 20,000,000 shares authorized; zero shares issued and</w:t>
            </w: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$.001; 200,000,000 shares authorized; 9,781,739 and</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2,096,082 issued and outstanding as of December 31, 2025 and 2024, respectively</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9,782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2,096</w:t>
            </w:r>
          </w:p>
        </w:tc>
        <w:tc>
          <w:tcPr>
            <w:tcW w:w="80" w:type="dxa"/>
            <w:vAlign w:val="bottom"/>
          </w:tcPr>
          <w:p>
            <w:pPr>
              <w:spacing w:after="0"/>
              <w:rPr>
                <w:sz w:val="20"/>
                <w:szCs w:val="20"/>
                <w:color w:val="auto"/>
              </w:rPr>
            </w:pPr>
          </w:p>
        </w:tc>
      </w:tr>
      <w:tr>
        <w:trPr>
          <w:trHeight w:val="216"/>
        </w:trPr>
        <w:tc>
          <w:tcPr>
            <w:tcW w:w="6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47,336,405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37,091,468</w:t>
            </w:r>
          </w:p>
        </w:tc>
      </w:tr>
      <w:tr>
        <w:trPr>
          <w:trHeight w:val="230"/>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(40,810,427)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(34,575,240)</w:t>
            </w:r>
          </w:p>
        </w:tc>
      </w:tr>
      <w:tr>
        <w:trPr>
          <w:trHeight w:val="209"/>
        </w:trPr>
        <w:tc>
          <w:tcPr>
            <w:tcW w:w="6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6,535,760</w:t>
            </w:r>
          </w:p>
        </w:tc>
        <w:tc>
          <w:tcPr>
            <w:tcW w:w="10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2,518,324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8,071,362</w:t>
            </w:r>
          </w:p>
        </w:tc>
        <w:tc>
          <w:tcPr>
            <w:tcW w:w="1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9,107,388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68"/>
        </w:trPr>
        <w:tc>
          <w:tcPr>
            <w:tcW w:w="67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56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9,651,870</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5,624,939</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8,314,472</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4,469,711</w:t>
            </w: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1,337,398</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12,040,903</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7,909,219</w:t>
            </w: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(10,703,505)</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(6,753,991)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(16,147)</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(86,121)</w:t>
            </w:r>
          </w:p>
        </w:tc>
      </w:tr>
      <w:tr>
        <w:trPr>
          <w:trHeight w:val="216"/>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20,226</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976,618</w:t>
            </w: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13,353</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146,760</w:t>
            </w:r>
          </w:p>
        </w:tc>
      </w:tr>
      <w:tr>
        <w:trPr>
          <w:trHeight w:val="216"/>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expense</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709,900</w:t>
            </w: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Suspended liability expense / (income)</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(4,485,948)</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4,985,948</w:t>
            </w:r>
          </w:p>
        </w:tc>
      </w:tr>
      <w:tr>
        <w:trPr>
          <w:trHeight w:val="23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 expense</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48</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r>
      <w:tr>
        <w:trPr>
          <w:trHeight w:val="209"/>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 expense</w:t>
            </w:r>
          </w:p>
        </w:tc>
        <w:tc>
          <w:tcPr>
            <w:tcW w:w="15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(4,468,468</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6,727,032</w:t>
            </w:r>
          </w:p>
        </w:tc>
        <w:tc>
          <w:tcPr>
            <w:tcW w:w="100" w:type="dxa"/>
            <w:vAlign w:val="bottom"/>
            <w:tcBorders>
              <w:bottom w:val="single" w:sz="8" w:color="CCEEFF"/>
            </w:tcBorders>
          </w:tcPr>
          <w:p>
            <w:pPr>
              <w:spacing w:after="0"/>
              <w:rPr>
                <w:sz w:val="18"/>
                <w:szCs w:val="18"/>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(6,235,037)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(13,481,023)</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(income) / expense</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150</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63"/>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(6,235,187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(13,479,475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6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5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5,511,875</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641,011</w:t>
            </w:r>
          </w:p>
        </w:tc>
        <w:tc>
          <w:tcPr>
            <w:tcW w:w="100" w:type="dxa"/>
            <w:vAlign w:val="bottom"/>
            <w:tcBorders>
              <w:top w:val="single" w:sz="8" w:color="CCEEFF"/>
            </w:tcBorders>
            <w:shd w:val="clear" w:color="auto" w:fill="CCEEFF"/>
          </w:tcPr>
          <w:p>
            <w:pPr>
              <w:spacing w:after="0"/>
              <w:rPr>
                <w:sz w:val="17"/>
                <w:szCs w:val="17"/>
                <w:color w:val="auto"/>
              </w:rPr>
            </w:pPr>
          </w:p>
        </w:tc>
      </w:tr>
      <w:tr>
        <w:trPr>
          <w:trHeight w:val="358"/>
        </w:trPr>
        <w:tc>
          <w:tcPr>
            <w:tcW w:w="5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67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(6,235,187)</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(13,479,475)</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116,645</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173,973</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convertible note costs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667,144</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13,353</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146,760</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settlement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209,000</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1,163,654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616,632</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in exchange for services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489,500</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expense in exchange for asset disposal</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21,420</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 Decrease in inventory valuation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903,717</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right-of-use assets and lease liabilities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(67,778)</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 (Decrease) in suspended liability</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(4,485,948)</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4,985,948</w:t>
            </w:r>
          </w:p>
        </w:tc>
      </w:tr>
      <w:tr>
        <w:trPr>
          <w:trHeight w:val="216"/>
        </w:trPr>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(105,942)</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(458,087)</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 Decrease in inventory</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1,068,964</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(1,006,071)</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 Decrease in prepaid/in-transit inventory</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1,294,246</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(1,448,738)</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 Decrease in prepaid expenses and other current assets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56,816</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(47,043)</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 Decrease in deposits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(4,545)</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31,425</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65,701</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51,106</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 (Decrease) in customer deposits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(45,496)</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31,051</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accrued expenses and other current liabilities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34,399</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21,819</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 (Decrease) in right-of-use assets and lease liabilities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9,789</w:t>
            </w: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suspended liability</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(6,149,263)</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(9,562,545)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(19,203)</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sale of property and equipment</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4,250</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132,611</w:t>
            </w: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4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113,408</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convertible note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(2,750,000)</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(32,925)</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(119,111)</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stockholder promissory notes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(762,500)</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exercise of warrants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5,725,284</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185,434</w:t>
            </w: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2,874,185</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9,510,181</w:t>
            </w: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8,566,544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6,064,004</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beginning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ending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2,421,531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(3,385,133)</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547,565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3,932,698</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2,969,096</w:t>
            </w:r>
          </w:p>
        </w:tc>
        <w:tc>
          <w:tcPr>
            <w:tcW w:w="1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547,565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-325120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368300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2">
        <w:col w:w="6480" w:space="720"/>
        <w:col w:w="4040"/>
      </w:cols>
      <w:pgMar w:left="320" w:top="79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2026-03-17T07:47:37Z</dcterms:created>
  <dcterms:modified xsi:type="dcterms:W3CDTF">2026-03-17T07:47:37Z</dcterms:modified>
</cp:coreProperties>
</file>