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88265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20" w:hanging="1311"/>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3"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2022</w:t>
      </w:r>
    </w:p>
    <w:p>
      <w:pPr>
        <w:spacing w:after="0" w:line="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1220" w:hanging="1111"/>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6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001-41347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88265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Expion360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564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81-2701049</w:t>
            </w:r>
          </w:p>
        </w:tc>
      </w:tr>
      <w:tr>
        <w:trPr>
          <w:trHeight w:val="216"/>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16"/>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2025 SW Deerhound Avenue, Redmond, OR</w:t>
            </w:r>
          </w:p>
        </w:tc>
        <w:tc>
          <w:tcPr>
            <w:tcW w:w="374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97756</w:t>
            </w:r>
          </w:p>
        </w:tc>
      </w:tr>
      <w:tr>
        <w:trPr>
          <w:trHeight w:val="238"/>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(541) 797-6714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60" w:type="dxa"/>
            <w:vAlign w:val="bottom"/>
            <w:tcBorders>
              <w:top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92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XPON</w:t>
            </w:r>
          </w:p>
        </w:tc>
        <w:tc>
          <w:tcPr>
            <w:tcW w:w="446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 w:lineRule="exact"/>
        <w:rPr>
          <w:sz w:val="24"/>
          <w:szCs w:val="24"/>
          <w:color w:val="auto"/>
        </w:rPr>
      </w:pPr>
    </w:p>
    <w:p>
      <w:pPr>
        <w:ind w:left="820" w:right="820" w:firstLine="81"/>
        <w:spacing w:after="0" w:line="262"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4" w:lineRule="exact"/>
        <w:rPr>
          <w:sz w:val="24"/>
          <w:szCs w:val="24"/>
          <w:color w:val="auto"/>
        </w:rPr>
      </w:pPr>
    </w:p>
    <w:p>
      <w:pPr>
        <w:jc w:val="center"/>
        <w:ind w:left="340"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cente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3"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3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2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78" w:lineRule="exact"/>
        <w:rPr>
          <w:sz w:val="24"/>
          <w:szCs w:val="24"/>
          <w:color w:val="auto"/>
        </w:rPr>
      </w:pPr>
    </w:p>
    <w:p>
      <w:pPr>
        <w:jc w:val="center"/>
        <w:ind w:left="340"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sale price as reported by The Nasdaq Capital Market on June 30, 2022, the last business day of the registrant’s most recently completed second fiscal quarter, was approximately $10.9 million. Shares of common stock beneficially owned by each executive officer, director and holder of more than 10% of common stock have been excluded in that such persons may be deemed to be affiliates.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27, 2023, there were 6,848,566 shares of the registrant’s common stock outstanding.</w:t>
      </w:r>
    </w:p>
    <w:p>
      <w:pPr>
        <w:spacing w:after="0" w:line="7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96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00" w:type="dxa"/>
            <w:vAlign w:val="bottom"/>
            <w:gridSpan w:val="8"/>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Expion360 INC.</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9"/>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0"/>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22"/>
          </w:tcPr>
          <w:p>
            <w:pPr>
              <w:ind w:left="1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8"/>
              </w:rPr>
              <w:t>Item 1</w:t>
            </w:r>
          </w:p>
        </w:tc>
        <w:tc>
          <w:tcPr>
            <w:tcW w:w="22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90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1080" w:type="dxa"/>
            <w:vAlign w:val="bottom"/>
            <w:gridSpan w:val="4"/>
          </w:tcPr>
          <w:p>
            <w:pPr>
              <w:jc w:val="center"/>
              <w:ind w:left="810"/>
              <w:spacing w:after="0" w:line="194" w:lineRule="exact"/>
              <w:rPr>
                <w:sz w:val="20"/>
                <w:szCs w:val="20"/>
                <w:color w:val="auto"/>
              </w:rPr>
            </w:pPr>
            <w:r>
              <w:rPr>
                <w:rFonts w:ascii="Times New Roman" w:cs="Times New Roman" w:eastAsia="Times New Roman" w:hAnsi="Times New Roman"/>
                <w:sz w:val="18"/>
                <w:szCs w:val="18"/>
                <w:color w:val="0000EE"/>
              </w:rPr>
              <w:t>5</w:t>
            </w:r>
          </w:p>
        </w:tc>
        <w:tc>
          <w:tcPr>
            <w:tcW w:w="360" w:type="dxa"/>
            <w:vAlign w:val="bottom"/>
          </w:tcPr>
          <w:p>
            <w:pPr>
              <w:spacing w:after="0"/>
              <w:rPr>
                <w:sz w:val="16"/>
                <w:szCs w:val="16"/>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A</w:t>
            </w:r>
          </w:p>
        </w:tc>
        <w:tc>
          <w:tcPr>
            <w:tcW w:w="1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Item1B</w:t>
            </w:r>
          </w:p>
        </w:tc>
        <w:tc>
          <w:tcPr>
            <w:tcW w:w="91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6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1300" w:type="dxa"/>
            <w:vAlign w:val="bottom"/>
            <w:gridSpan w:val="7"/>
          </w:tcPr>
          <w:p>
            <w:pPr>
              <w:spacing w:after="0"/>
              <w:rPr>
                <w:sz w:val="17"/>
                <w:szCs w:val="17"/>
                <w:color w:val="auto"/>
              </w:rPr>
            </w:pPr>
          </w:p>
        </w:tc>
        <w:tc>
          <w:tcPr>
            <w:tcW w:w="69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768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2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434"/>
        </w:trPr>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2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8"/>
              </w:rPr>
              <w:t>Item 5</w:t>
            </w:r>
          </w:p>
        </w:tc>
        <w:tc>
          <w:tcPr>
            <w:tcW w:w="22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gridSpan w:val="4"/>
          </w:tcPr>
          <w:p>
            <w:pPr>
              <w:jc w:val="center"/>
              <w:ind w:right="360"/>
              <w:spacing w:after="0" w:line="194"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w:t>
            </w:r>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[Reserved]</w:t>
            </w:r>
          </w:p>
        </w:tc>
        <w:tc>
          <w:tcPr>
            <w:tcW w:w="72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w:t>
            </w:r>
          </w:p>
        </w:tc>
        <w:tc>
          <w:tcPr>
            <w:tcW w:w="6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r>
      <w:tr>
        <w:trPr>
          <w:trHeight w:val="196"/>
        </w:trPr>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8</w:t>
            </w:r>
          </w:p>
        </w:tc>
        <w:tc>
          <w:tcPr>
            <w:tcW w:w="1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gridSpan w:val="2"/>
          </w:tcPr>
          <w:p>
            <w:pPr>
              <w:spacing w:after="0"/>
              <w:rPr>
                <w:sz w:val="17"/>
                <w:szCs w:val="17"/>
                <w:color w:val="auto"/>
              </w:rPr>
            </w:pPr>
          </w:p>
        </w:tc>
        <w:tc>
          <w:tcPr>
            <w:tcW w:w="46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w:t>
            </w:r>
          </w:p>
        </w:tc>
        <w:tc>
          <w:tcPr>
            <w:tcW w:w="2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4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72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42</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42</w:t>
            </w:r>
          </w:p>
        </w:tc>
      </w:tr>
      <w:tr>
        <w:trPr>
          <w:trHeight w:val="434"/>
        </w:trPr>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4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10</w:t>
            </w:r>
          </w:p>
        </w:tc>
        <w:tc>
          <w:tcPr>
            <w:tcW w:w="9100" w:type="dxa"/>
            <w:vAlign w:val="bottom"/>
            <w:gridSpan w:val="22"/>
          </w:tcPr>
          <w:p>
            <w:pPr>
              <w:ind w:left="100"/>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440" w:type="dxa"/>
            <w:vAlign w:val="bottom"/>
            <w:gridSpan w:val="5"/>
          </w:tcPr>
          <w:p>
            <w:pPr>
              <w:jc w:val="center"/>
              <w:ind w:left="450"/>
              <w:spacing w:after="0" w:line="194" w:lineRule="exact"/>
              <w:rPr>
                <w:sz w:val="20"/>
                <w:szCs w:val="20"/>
                <w:color w:val="auto"/>
              </w:rPr>
            </w:pPr>
            <w:r>
              <w:rPr>
                <w:rFonts w:ascii="Times New Roman" w:cs="Times New Roman" w:eastAsia="Times New Roman" w:hAnsi="Times New Roman"/>
                <w:sz w:val="18"/>
                <w:szCs w:val="18"/>
                <w:color w:val="0000EE"/>
                <w:w w:val="99"/>
              </w:rPr>
              <w:t>43</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11</w:t>
            </w:r>
          </w:p>
        </w:tc>
        <w:tc>
          <w:tcPr>
            <w:tcW w:w="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9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51</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91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52</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91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54</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91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55</w:t>
            </w:r>
          </w:p>
        </w:tc>
      </w:tr>
      <w:tr>
        <w:trPr>
          <w:trHeight w:val="434"/>
        </w:trPr>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12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15</w:t>
            </w:r>
          </w:p>
        </w:tc>
        <w:tc>
          <w:tcPr>
            <w:tcW w:w="9100" w:type="dxa"/>
            <w:vAlign w:val="bottom"/>
            <w:gridSpan w:val="22"/>
          </w:tcPr>
          <w:p>
            <w:pPr>
              <w:ind w:left="100"/>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440" w:type="dxa"/>
            <w:vAlign w:val="bottom"/>
            <w:gridSpan w:val="5"/>
          </w:tcPr>
          <w:p>
            <w:pPr>
              <w:jc w:val="center"/>
              <w:ind w:left="450"/>
              <w:spacing w:after="0" w:line="194" w:lineRule="exact"/>
              <w:rPr>
                <w:sz w:val="20"/>
                <w:szCs w:val="20"/>
                <w:color w:val="auto"/>
              </w:rPr>
            </w:pPr>
            <w:r>
              <w:rPr>
                <w:rFonts w:ascii="Times New Roman" w:cs="Times New Roman" w:eastAsia="Times New Roman" w:hAnsi="Times New Roman"/>
                <w:sz w:val="18"/>
                <w:szCs w:val="18"/>
                <w:color w:val="0000EE"/>
                <w:w w:val="99"/>
              </w:rPr>
              <w:t>57</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91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440" w:type="dxa"/>
            <w:vAlign w:val="bottom"/>
            <w:gridSpan w:val="5"/>
          </w:tcPr>
          <w:p>
            <w:pPr>
              <w:jc w:val="center"/>
              <w:ind w:left="450"/>
              <w:spacing w:after="0" w:line="196" w:lineRule="exact"/>
              <w:rPr>
                <w:sz w:val="20"/>
                <w:szCs w:val="20"/>
                <w:color w:val="auto"/>
              </w:rPr>
            </w:pPr>
            <w:r>
              <w:rPr>
                <w:rFonts w:ascii="Times New Roman" w:cs="Times New Roman" w:eastAsia="Times New Roman" w:hAnsi="Times New Roman"/>
                <w:sz w:val="18"/>
                <w:szCs w:val="18"/>
                <w:color w:val="0000EE"/>
                <w:w w:val="99"/>
              </w:rPr>
              <w:t>58</w:t>
            </w:r>
          </w:p>
        </w:tc>
      </w:tr>
      <w:tr>
        <w:trPr>
          <w:trHeight w:val="20"/>
        </w:trPr>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4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44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0000EE"/>
                <w:w w:val="99"/>
              </w:rPr>
              <w:t>59</w:t>
            </w:r>
          </w:p>
        </w:tc>
      </w:tr>
      <w:tr>
        <w:trPr>
          <w:trHeight w:val="703"/>
        </w:trPr>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062"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(the “Exchange Act”). All statements in this Annual Report on Form 10-K,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Annual Report on Form 10-K are made as of the date hereof and are based on information available to us as of such date. We assume no obligation to update any forward-looking statement.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Actual results will likely differ, and could differ materially, from those projected or assumed in the forward-looking statements. Prospective investors are cautioned not to unduly rely on any such forward-looking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extremely competitive industry and are subject to pricing pressures.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our audited financial statements include a statement that there is a substantial doubt about our ability to continue as a going concern. As our costs increase, we may not be able to generate sufficient revenue to achieve and sustain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 and we have substantial customer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negatively impacted by public health epidemics or outbreaks, including the novel coronavirus (“COVID-19”) as well as uncertainty in global economic conditions.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expand our sales and distribution channels and our ability to expend into international markets is uncertain.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all of our raw materials enter the United States through a limited number of ports, and we rely on third parties to store and ship some of our inventory; labor unrest at these ports or other product delivery difficulties could interfere with our distribution plans and reduce our revenue.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reviews, inquiries, investigations, and actions could harm our business or reputation.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manufacturers and suppliers, including suppliers located outside the United States, and our operating results could be adversely affected by changes in the cost and availability of raw materials as well as increases in costs, disruption of supply, or shortage of any of our battery components, such as electronic and mechanical parts, or raw materials used in the production of such parts.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two warehouse facilities and if any of our facilities becomes inoperable for any reason or if our expansion plans fail, our ability to produce our products could be negatively impacted.</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Lithium-ion battery cells have been observed to catch fire or release smoke and flame, which may have a negative impact on our reputation and business.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product liability claims relating to our products, which could result in significant costs and liabilities, which would reduce our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expose us to litigation, tax, environmental, and other legal compliance risks.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introduce new products and product enhancements and broad market acceptance of new technologies introduced by our competitors could adversely affect our business.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proprietary intellectual property and technology and we may need to defend ourselves against intellectual property infringement claims.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and our stockholders may be diluted by future securities offerings.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employees, and significant attrition within our management team or unsuccessful succession planning could adversely affect our business.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elect to comply with certain reduced reporting requirements applicable to emerging growth companies, which could make our securities less attractive to investors.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in Item 1A. “Risk Factors” of this Annual Report on Form 10-K.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are expressly qualified in their entirety by these cautionary statements. Our actual results will likely differ, and may differ materially, from anticipated results. Financial estimates are subject to change and are not intended to be relied upon as predictions of future operating results, and we assume no obligation to update or disclose revisions to those estimates. If we do update or correct one or more forward-looking statements, investors and others should not conclude that we will make additional updates or corrections.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NOTICE REGARDING TRADEMARKS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Expion360 Inc. (the “Company,” “Expion360”, “we,” “us” or “our”) focuses on the design, assembly, manufacturing, and sales of lithium iron phosphate (LiFePO4) batteries and supporting accessories for recreational vehicles (“RVs”) and marine applications with plans to expand into home energy storage products and industrial applications. We design, assemble, and distribute high-powered, lithium battery solutions using ground-breaking concepts with a creative sales and marketing approach. We believe that our product offerings include some of the most dense and minimal-footprint batteries in the RV &amp; Marine industry. We are developing the e360 Home Energy Storage: a system that we expect to significantly change the industry in barrier price, flexibility, and integration. We are deploying multiple IP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based in Redmond, Oregon, with assembly in the United States and suppliers based in Asia. We are currently in the process of building out manufacturing capacity at our corporate headquarters. Our long-term target is to onshore the manufacturing of most of our components and assemblies, including cell manufacturing, to the United States.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main target markets are currently the RV &amp; Marine industry. We believe that we are well positioned to capitalize on the rapid market conversion from lead-acid to lithium batteries as the primary method of power sourcing in these industries. Additional focus markets include home energy storage, where we aim to provide a cost-effective, low barrier of entry, and a do-it-yourself (“DIY”) flexible system for those looking to power their homes via solar energy, wind, or grid back-up. Along with RV/Marine and home energy storage markets, we aim to provide additional capacities to the ever-expanding electric forklift and industrial material handling markets.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Expion360’s e360 product line, which is manufactured for the RV/Marine industry, was launched in December 2020. The e360 product line, through its rapid sales growth, has shown to be a preferred conversion solution for lead-acid batteries. We believe that our e360 Home Energy Storage system has strong revenue potential with recurring income opportunities for us and our associated sales partners.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products provide numerous advantages for various industries that are looking to migrate to lithium-based energy storage. They incorporate detailed-oriented design and engineering and strong case materials and internal and structural layouts, and are backed by responsive customer service.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trend of vehicle electrification is expected to be a significant growth catalyst for lithium compounds over the next decade and beyond. According to industry sources and management estimates, the global electric vehicle market was valued at $163.01 billion in 2020, and is projected to reach $823.75 billion by 2030, a CAGR of 18.2%. In addition, the North American electric vehicle market is projected to reach $147.6 billion by 2028, a CAGR of 37.2%.</w:t>
      </w:r>
    </w:p>
    <w:p>
      <w:pPr>
        <w:spacing w:after="0" w:line="180"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Furthermore, the North American RV market was estimated at roughly $33.95 billion in 2021, and is expected to grow at a 9.7% CAGR, approaching $59.16 billion by 2027. There are almost 230 national chain RV dealers in the United States, further exemplifying the robust market for these vehicles. In addition, the global recreational boating market was valued at $27.32 billion in 2021, and is projected to reach $36.78 billion by 2027, growing at a CAGR of 5.1% from 2021 to 2027.</w:t>
      </w:r>
    </w:p>
    <w:p>
      <w:pPr>
        <w:spacing w:after="0" w:line="180" w:lineRule="exact"/>
        <w:rPr>
          <w:sz w:val="20"/>
          <w:szCs w:val="20"/>
          <w:color w:val="auto"/>
        </w:rPr>
      </w:pPr>
    </w:p>
    <w:p>
      <w:pPr>
        <w:jc w:val="both"/>
        <w:ind w:firstLine="686"/>
        <w:spacing w:after="0" w:line="258" w:lineRule="auto"/>
        <w:rPr>
          <w:sz w:val="20"/>
          <w:szCs w:val="20"/>
          <w:color w:val="auto"/>
        </w:rPr>
      </w:pPr>
      <w:r>
        <w:rPr>
          <w:rFonts w:ascii="Times New Roman" w:cs="Times New Roman" w:eastAsia="Times New Roman" w:hAnsi="Times New Roman"/>
          <w:sz w:val="18"/>
          <w:szCs w:val="18"/>
          <w:color w:val="auto"/>
        </w:rPr>
        <w:t>At the intersection of both these trends lies the rapidly expanding lithium battery market. The market for lithium-ion batteries is expected to grow at 13.1% CAGR between 2022 and 2031, from roughly $44.5 billion to $135.1 billion. The vast expansion of the lithium battery market can be attributed to global trends promoting clean energy, as well as the compact and flexible nature of lithium battery packs which make them easy to install in RV’s and boats. Our technology, which we believe offers industry leading battery pack flexibility for the most efficient energy storage, is poised to be able to offer power to these large vehicles such as RV’s and recreational boats.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 w:name="page7"/>
    <w:bookmarkEnd w:id="6"/>
    <w:p>
      <w:pPr>
        <w:ind w:firstLine="719"/>
        <w:spacing w:after="0" w:line="261" w:lineRule="auto"/>
        <w:rPr>
          <w:sz w:val="20"/>
          <w:szCs w:val="20"/>
          <w:color w:val="auto"/>
        </w:rPr>
      </w:pPr>
      <w:r>
        <w:rPr>
          <w:rFonts w:ascii="Times New Roman" w:cs="Times New Roman" w:eastAsia="Times New Roman" w:hAnsi="Times New Roman"/>
          <w:sz w:val="18"/>
          <w:szCs w:val="18"/>
          <w:color w:val="auto"/>
        </w:rPr>
        <w:t>Expion360 is focused on expanding its position in the deep cycle, off-grid and stationary energy storage markets. According to the Federal Consortium for Advanced Batteries, the United States has five goals in mind to secure battery materials and the U.S. technology supply chain. They include</w:t>
      </w:r>
    </w:p>
    <w:p>
      <w:pPr>
        <w:jc w:val="both"/>
        <w:ind w:firstLine="8"/>
        <w:spacing w:after="0" w:line="255"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access to raw materials; (2) support of the U.S. materials-processing base; (3) stimulation of U.S. electrode, cell, and pack manufacturing; (4) enabling recycling and reuse of critical materials; and (5) support of scientific R&amp;D, STEM education and workforce development. Expion360 is well positioned to benefit from this national focus.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Biden Administration has also laid out a bold agenda to address the climate crisis and build a clean and equitable energy economy that achieves carbon-pollution-free electricity by 2035 and puts the United States on a path to achieve net-zero emissions, economy-wide. We believe this government support will continue to drive rapid growth in the industry.</w:t>
      </w:r>
    </w:p>
    <w:p>
      <w:pPr>
        <w:spacing w:after="0" w:line="176" w:lineRule="exact"/>
        <w:rPr>
          <w:sz w:val="20"/>
          <w:szCs w:val="20"/>
          <w:color w:val="auto"/>
        </w:rPr>
      </w:pPr>
    </w:p>
    <w:p>
      <w:pPr>
        <w:jc w:val="both"/>
        <w:ind w:firstLine="711"/>
        <w:spacing w:after="0" w:line="261" w:lineRule="auto"/>
        <w:rPr>
          <w:sz w:val="20"/>
          <w:szCs w:val="20"/>
          <w:color w:val="auto"/>
        </w:rPr>
      </w:pPr>
      <w:r>
        <w:rPr>
          <w:rFonts w:ascii="Times New Roman" w:cs="Times New Roman" w:eastAsia="Times New Roman" w:hAnsi="Times New Roman"/>
          <w:sz w:val="18"/>
          <w:szCs w:val="18"/>
          <w:color w:val="auto"/>
        </w:rPr>
        <w:t>Lithium-based batteries power our daily lives, from consumer electronics to national defense. They enable electrification of the transportation sector and provide stationary grid storage, critical to developing the clean-energy economy. The U.S. has a strong research community, a robust innovation infrastructure for technological advancement of batteries, and an emerging lithium-based battery manufacturing industry, according to the US Department of Energy.</w:t>
      </w:r>
    </w:p>
    <w:p>
      <w:pPr>
        <w:spacing w:after="0" w:line="180" w:lineRule="exact"/>
        <w:rPr>
          <w:sz w:val="20"/>
          <w:szCs w:val="20"/>
          <w:color w:val="auto"/>
        </w:rPr>
      </w:pPr>
    </w:p>
    <w:p>
      <w:pPr>
        <w:jc w:val="both"/>
        <w:ind w:firstLine="711"/>
        <w:spacing w:after="0" w:line="282" w:lineRule="auto"/>
        <w:rPr>
          <w:sz w:val="20"/>
          <w:szCs w:val="20"/>
          <w:color w:val="auto"/>
        </w:rPr>
      </w:pPr>
      <w:r>
        <w:rPr>
          <w:rFonts w:ascii="Times New Roman" w:cs="Times New Roman" w:eastAsia="Times New Roman" w:hAnsi="Times New Roman"/>
          <w:sz w:val="18"/>
          <w:szCs w:val="18"/>
          <w:color w:val="auto"/>
        </w:rPr>
        <w:t>It is our desire to work closely with federal, state and local governments, as well as private industry to help America be the leader in lithium battery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strengths differentiate Expion360 and create long-term, sustainable competitive advantages: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Superior Capacity to Lead Acid Competitors</w:t>
      </w:r>
    </w:p>
    <w:p>
      <w:pPr>
        <w:spacing w:after="0" w:line="229" w:lineRule="exact"/>
        <w:rPr>
          <w:sz w:val="20"/>
          <w:szCs w:val="20"/>
          <w:color w:val="auto"/>
        </w:rPr>
      </w:pPr>
    </w:p>
    <w:p>
      <w:pPr>
        <w:jc w:val="both"/>
        <w:ind w:firstLine="703"/>
        <w:spacing w:after="0" w:line="258" w:lineRule="auto"/>
        <w:rPr>
          <w:sz w:val="20"/>
          <w:szCs w:val="20"/>
          <w:color w:val="auto"/>
        </w:rPr>
      </w:pPr>
      <w:r>
        <w:rPr>
          <w:rFonts w:ascii="Times New Roman" w:cs="Times New Roman" w:eastAsia="Times New Roman" w:hAnsi="Times New Roman"/>
          <w:sz w:val="18"/>
          <w:szCs w:val="18"/>
          <w:color w:val="auto"/>
        </w:rPr>
        <w:t>Lead-acid batteries have always been the standard in RV and marine transportation vehicles. Our lithium-ion batteries offer superior capacity to our lead-acid competitors. Our batteries utilize lithium iron phosphate, and therefore, are expected to have a lifespan of approximately 12 years — three to four times that of certain lead-acid batteries and with ten times the number of charging cycles. Furthermore, we believe that our typical battery provides three times the power of the typical, lead-acid battery despite being half the weight (comparing, for example, a typical lead-acid battery like Renogy Deep Cycle AGM, which is rated at 100Ah, to our own LFP 100Ah battery and assuming slow discharge at a .1C rate).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Battery Pack Flexibility</w:t>
      </w:r>
    </w:p>
    <w:p>
      <w:pPr>
        <w:spacing w:after="0" w:line="229" w:lineRule="exact"/>
        <w:rPr>
          <w:sz w:val="20"/>
          <w:szCs w:val="20"/>
          <w:color w:val="auto"/>
        </w:rPr>
      </w:pPr>
    </w:p>
    <w:p>
      <w:pPr>
        <w:jc w:val="both"/>
        <w:ind w:firstLine="715"/>
        <w:spacing w:after="0" w:line="261" w:lineRule="auto"/>
        <w:rPr>
          <w:sz w:val="20"/>
          <w:szCs w:val="20"/>
          <w:color w:val="auto"/>
        </w:rPr>
      </w:pPr>
      <w:r>
        <w:rPr>
          <w:rFonts w:ascii="Times New Roman" w:cs="Times New Roman" w:eastAsia="Times New Roman" w:hAnsi="Times New Roman"/>
          <w:sz w:val="18"/>
          <w:szCs w:val="18"/>
          <w:color w:val="auto"/>
        </w:rPr>
        <w:t>Our battery packs are also highly flexible, designed to be moved and used in various applications seamlessly. We plan to onshore our semi-automated pack assembly in Redmond, Oregon. The initial equipment has arrived and subject to market conditions, we are working on setup and development of additional equipment to automate the line. This should allow us to use a more flexible approach to forming and creating new battery packs. By onshoring, we expect to be able to react to market demands at a much quicker pace and increase profit levels over our competition.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Long-time RV and Marine Industry Experience and Relationships and Strong Insider Ownership</w:t>
      </w:r>
    </w:p>
    <w:p>
      <w:pPr>
        <w:spacing w:after="0" w:line="229" w:lineRule="exact"/>
        <w:rPr>
          <w:sz w:val="20"/>
          <w:szCs w:val="20"/>
          <w:color w:val="auto"/>
        </w:rPr>
      </w:pPr>
    </w:p>
    <w:p>
      <w:pPr>
        <w:jc w:val="both"/>
        <w:ind w:firstLine="747"/>
        <w:spacing w:after="0" w:line="266" w:lineRule="auto"/>
        <w:rPr>
          <w:sz w:val="20"/>
          <w:szCs w:val="20"/>
          <w:color w:val="auto"/>
        </w:rPr>
      </w:pPr>
      <w:r>
        <w:rPr>
          <w:rFonts w:ascii="Times New Roman" w:cs="Times New Roman" w:eastAsia="Times New Roman" w:hAnsi="Times New Roman"/>
          <w:sz w:val="18"/>
          <w:szCs w:val="18"/>
          <w:color w:val="auto"/>
        </w:rPr>
        <w:t>Expion360 is managed by a team with a strong track record in the RV and clean energy spaces. John Yozamp, Founder of Expion360, pioneered multiple new recreational concepts in the RV industry. As the founder and previous owner of Zamp Solar, he has extensive relationships in the RV OEM industry. In addition, our co-founders own significant equity in the company, signaling a strong commitment and personal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229" w:lineRule="exact"/>
        <w:rPr>
          <w:sz w:val="20"/>
          <w:szCs w:val="20"/>
          <w:color w:val="auto"/>
        </w:rPr>
      </w:pPr>
    </w:p>
    <w:p>
      <w:pPr>
        <w:jc w:val="both"/>
        <w:ind w:firstLine="692"/>
        <w:spacing w:after="0" w:line="258" w:lineRule="auto"/>
        <w:rPr>
          <w:sz w:val="20"/>
          <w:szCs w:val="20"/>
          <w:color w:val="auto"/>
        </w:rPr>
      </w:pPr>
      <w:r>
        <w:rPr>
          <w:rFonts w:ascii="Times New Roman" w:cs="Times New Roman" w:eastAsia="Times New Roman" w:hAnsi="Times New Roman"/>
          <w:sz w:val="18"/>
          <w:szCs w:val="18"/>
          <w:color w:val="auto"/>
        </w:rPr>
        <w:t>While RV and marine applications currently drive revenue, Expion360 has plans to expand into the home energy market in the coming years. Our e360 Home Energy Storage system is planned to target entry level customers with its modular design that will allow for DIY expansion. We see the vision of stored energy as a portable, moving concept, where stored energy can be transported from the home to other devices outside of it. Furthermore, Expion360 plans to file for IP protection for Expion360’s “Smart Talk” upon completion of development. “Smart Talk” is designed to allow multiple batteries in a bank to communicate as one and be linked to a network.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furtherance of our vision of stored energy, in January 2023, Expion360 introduced two portable power generator products: the AURA POWERCAP™ 600 and AURA POWERCAP™ 800 (together, the “Aura”). The AURA POWERCAP™ 600 is designed to fit and convert any one of Expion360’s group 24 lithium batteries into a 600W mobile power station while the AURA POWERCAP™ 800 is designed to fit and convert any one of Expion360’s group 27 lithium batteries into an 800W mobile power station. The Aura’s proprietary patent pending design allows the AURA POWERCAP™ 600 to join seamlessly to 60Ah, 80Ah, and 95Ah Expion360 batteries and the AURA POWERCAP™ 800 to join to 100Ah and 120Ah Expion360 batteries. The AURA POWERCAP™ 600 and AURA POWERCAP™ 800 are an exclusive fit to Expion360 batteries and will not fit other brands. The AURA POWERCAP™ 600 and AURA POWERCAP™ 800 contain beneficial features and functions for a compact portable power unit, including the ability to recharge the battery from the input charge port using the included 7 Amp household charger and the ability to recharge remotely with Expion360’s lightweight portable solar panel options, which are sold separately.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National Retail Customers and Distribution Channels</w:t>
      </w:r>
    </w:p>
    <w:p>
      <w:pPr>
        <w:spacing w:after="0" w:line="229" w:lineRule="exact"/>
        <w:rPr>
          <w:sz w:val="20"/>
          <w:szCs w:val="20"/>
          <w:color w:val="auto"/>
        </w:rPr>
      </w:pPr>
    </w:p>
    <w:p>
      <w:pPr>
        <w:jc w:val="both"/>
        <w:ind w:firstLine="697"/>
        <w:spacing w:after="0" w:line="261" w:lineRule="auto"/>
        <w:rPr>
          <w:sz w:val="20"/>
          <w:szCs w:val="20"/>
          <w:color w:val="auto"/>
        </w:rPr>
      </w:pPr>
      <w:r>
        <w:rPr>
          <w:rFonts w:ascii="Times New Roman" w:cs="Times New Roman" w:eastAsia="Times New Roman" w:hAnsi="Times New Roman"/>
          <w:sz w:val="18"/>
          <w:szCs w:val="18"/>
          <w:color w:val="auto"/>
        </w:rPr>
        <w:t>Expion360 has sales relationships with many major RV retailers and with marine retailers and plans to use what we believe is a strong reputation in the lithium battery space to create an even stronger distribution channel. John Yozamp has used his decades of experience in the energy and RV industries to cultivate relationships with numerous retailers in the space. Expion360 has already established a sales relationship with several large retail customers, including Camping World, a leading national RV retailer, as well as NTP-STAG, a leading distributor of aftermarket RV parts.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focus on the design, assembly, and sales of lithium iron phosphate (LiFePO4) batteries and supporting accessories for RV and marine applications. Our batteries are designed and engineered in house using premium lithium iron phosphate cells with quality controls at every step We use high-grade LiFePO4 encased in steel and meeting the UL 1642 standard (UL file no. MH64383). We believe that our materials and engineering enhance the reliability, stability, and safety of our products. We reimagined the standard battery case and included built-in rubber feet, radiused corners, 96.7% larger terminal connection pads, interior molded ribs for structural security, and the highest-grade ABS plastics with additives for fire retardancy. To maximize the power and efficiency of our batteries, we welded our cells via thick copper/tin machined collector plates, welded all interior pack points, added a press broke flange at each end to create a mechanical backbone for the battery monitoring system (the “BMS”), used high-grade wiring and ring terminals throughout, and treated connections with industrial epoxy for long-lasting protection. Our internal “smart” BMS design includes multiple safety and performance features, such as: low temperature discharge, auto shutoff, short circuit protection, low- and high-voltage shutoffs, and overcurrent disconnect. Our structurally sound BMS board features a bolted design, eliminating all unnecessary solder, resulting in one cohesive pack with a long lifespan. We hold our lithium batteries to high safety standards, which has enabled us to achieve a UL 1973 compliance. We stand by our batteries with an industry leading 12-year warranty.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enable us to provide a full range of components to complement our battery offerings, we offer a suite of accessories and components for new installations or conversions which includes but is not limited to chargers, monitors, inverters, and solar components from brands such as Victron Energy and RedArc.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 has the following products:</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24 batteries:</w:t>
      </w:r>
    </w:p>
    <w:p>
      <w:pPr>
        <w:spacing w:after="0" w:line="9" w:lineRule="exact"/>
        <w:rPr>
          <w:sz w:val="20"/>
          <w:szCs w:val="20"/>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60Ah lithium battery</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80Ah lithium battery</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Extreme Density 95Ah lithium battery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27 batteries:</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e360 100Ah lithium battery</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Extreme Density 120Ah lithium battery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battery:</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E360 Extreme Density 360Ah battery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Expion360 e360 Lithium Power Bundle™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monitors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 battery chargers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tie-downs – 7 models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blocks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 bars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has the following products in its pipeline:</w:t>
      </w:r>
    </w:p>
    <w:p>
      <w:pPr>
        <w:spacing w:after="0" w:line="27" w:lineRule="exact"/>
        <w:rPr>
          <w:sz w:val="20"/>
          <w:szCs w:val="20"/>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Expion360 introduced AURA POWERCAP™ 600 and AURA POWERCAP™ 800. Expion360 began taking pre-orders of the new AURA POWERCAP™ 600 and 800 in Q1 2023 with anticipated deliveries Q2 2023. See “—</w:t>
      </w:r>
      <w:r>
        <w:rPr>
          <w:rFonts w:ascii="Times New Roman" w:cs="Times New Roman" w:eastAsia="Times New Roman" w:hAnsi="Times New Roman"/>
          <w:sz w:val="18"/>
          <w:szCs w:val="18"/>
          <w:i w:val="1"/>
          <w:iCs w:val="1"/>
          <w:color w:val="auto"/>
        </w:rPr>
        <w:t>Competitive Strengths—Expansion into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Markets</w:t>
      </w:r>
      <w:r>
        <w:rPr>
          <w:rFonts w:ascii="Times New Roman" w:cs="Times New Roman" w:eastAsia="Times New Roman" w:hAnsi="Times New Roman"/>
          <w:sz w:val="18"/>
          <w:szCs w:val="18"/>
          <w:color w:val="auto"/>
        </w:rPr>
        <w:t>” for additional information about the AURA POWERCAP™ 600 and AURA POWERCAP™ 800.</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Expion360 is also currently developing the e360 off-grid home energy system with release expected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include lithium-ion battery manufacturers, such as Relion (which was acquired by Brunswick Corporation in September 2021), Battle Born Batteries, Renogy, and Dakota Lithium. Lead-acid battery manufactures also continue to have a presence in the marketplace. We have designed custom form factors in both the industry standard Group 24 and Group 27 battery sizes allowing us to visually and structurally differentiate Expion360 within the market space. We believe that our custom 360Ah battery also provides a unique capacity to footprint ratio compared to lead-acid and lithium battery competitors. Our batteries utilize lithium iron phosphate, and therefore, are expected to have a lifespan of approximately 12 years — three to four times that of certain lead-acid batteries and with ten times the number of charging cycles. Furthermore, we believe that our typical battery provides three times the power of the typical, lead-acid battery despite being half the weight (comparing, for example, a typical lead-acid battery like Renogy Deep Cycle AGM, which is rated at 100Ah, to our own LFP 100Ah battery and assuming slow discharge at a .1C rate).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batteries are manufactured by multiple third-party manufacturers located in China who also produce our battery cells. We then assemble and package the batteries in the United States for sale to our customers. While we do not have long-term purchase agreements with our third-party manufacturers and our purchases are completed on a purchase order basis, we have had strong relationships with our third-party manufacturers spanning many years. During the years ended December 31, 2022 and 2021, approximately 85% and 90%, respectively, of inventory purchases were made from foreign suppliers in China and Hong Kong. Our third-party manufacturers source the raw materials and battery components required for the production of our batteries directly from third-party suppliers that meet our approval and quality standards and as a result, we may have limited control over the agreed pricing for these raw materials and battery components. Our battery cell manufacturers also have joint venture factories outside of China and have secured sourcing contracts from lithium suppliers in South America and Australia. In addition, the Company has secured a secondary source for lithium iron phosphate cells used in its batteries from a supplier in Denmark, enabling the Company to source materials outside of China in the event it becomes necessary to do so. We aim to maintain an appropriate level of inventory to satisfy our expected supply requirements. We believe that we could locate alternative third-party manufacturers to fulfill our needs.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Lithium is a key raw material used to produce our battery cells and as a result, the cost of our battery cells is dependent on the price and availability of lithium. From 2010 until 2015, the price of lithium stayed fairly flat. In 2016 the price started to rise, fueled by the fear of material shortages. As a result of the higher prices, new mining operations that had been in development came online and companies invested in more efficient extraction processes. The increases in production led to an oversupply of lithium in 2019 and a sharp drop in prices. The lithium prices in 2020 ended below the 2016 prices.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increased mining and newly located reserves, there is also an industry push to provide more efficient ways to extract lithium from the mined ore. Another development of the past few years is lithium cell recycling. This process will recapture the raw lithium from the cell for reuse in future cells. The price of lithium remains subject to volatility and thus we aim to monitor any developments that might adversely affect our supply chain.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over 213 customers across the United States consisting of dealers, wholesalers, private-label customers and original equipment manufacturers who then sell our products to end consumers. Our sales are completed on a purchase order basis and most are without firm, long-term revenue commitments or sales arrangements. In addition, we also sell products directly to consumers. Expion360 has sales relationships with many major RV retailers, including Camping World, a leading national RV retailer, as well as NTP-STAG, a leading distributor of aftermarket RV parts as well as with marine retailers. In December 2022, we were selected as the exclusive supplier of lithium-ion batteries for an overland trailer to be branded and sold by a top U.S. sports utility vehicle manufacturer. Due to the progress and success with our existing sales and distribution activities and to avoid any channel conflicts, our previously announced value-added reseller program has been deferred, pending additional review. We will continue to focus on our sales and distribution channels in order to develop existing customer relationships and grow our customer base.We also offer a high level of technical support to our customers before and after product sales.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a limited number of customers. During the year ended December 31, 2022, sales to our top three customers totaled $2,905,326, comprising approximately 41% of our total sales, including sales to one customer, which totaled $1,346,344 or approximately 19% of our total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filed patent applications in the United States to provide protection for our technology. Two design patents in the United States related to the new AURA POWERCAP™ are pending as of December 2022. In addition, we rely upon a combination of trademark and trade secret laws in the United States, as well as license agreements and other contractual protections, to establish, maintain and enforce rights in our proprietary technologies. We also seek to protect our intellectual property rights through non-disclosure and invention assignment agreements with our employees and consultants and through non-disclosure agreements with business partners and other third parties.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in an effort to protect our brand, as of December 31, 2022, we own 5 trademark registrations to cover our house marks in the United States and we have 3 pending trademark applications relating to our design logos and slogans in the United States.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inspections by federal, state, and local regulators overseeing environmental health and safety, which could result in possible citations and/or fines. Lithium-ion battery shipments are categorized as “dangerous goods” and are subject to rules governing their transportation. We have implemented policies and procedures, trained our employees, and conducted internal audits to verify compliance with environmental health and safety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of 2022, our Group 24 and Group 27 batteries passed UL 1973 certification. In February 2023, our custom 360Ah battery also passed UL 1973 certification.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had 25 employees, all full time. 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an emerging growth company, we have elected to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jc w:val="both"/>
        <w:ind w:left="980" w:hanging="324"/>
        <w:spacing w:after="0" w:line="25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that we hold a non-binding advisory vote on executive compensation or golden parachute arrangements; and</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Expion360 Inc. was initially organized as a limited liability company under the name Yozamp Products Company, LLC in the State of Oregon on June 16, 2016, and converted to a Nevada corporation under its current name pursuant to articles of conversion dated as of November 16,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website is https://expion360.com/ and on the Investor Relations section of our website, we post or will post, as applicable, the following filings as soon as reasonably practicable after they are electronically filed with or furnished to the Securities and Exchange Commission (“SEC”): our Annual Report on Form 10-K (the “Annual Report”), our Proxy Statement on Schedule 14A, our Quarterly Reports on Form 10-Q, our Current Reports on Form 8-K and any amendments to those reports filed or furnished pursuant to Section 13(a) or 15(d) of the Securities Exchange Act of 1934, as amended.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information on our Investor Relations web page is available to be viewed free of charge. Information contained on our website is not part of this Annual Report or our other filings with the SEC. We assume no obligation to update or revise any forward-looking statements in this Annual Report whether as a result of new information, future events or otherwise, unless we are required to do so by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particularly before deciding whether to invest in our securities.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The risks described below are not the only ones we face. Additional risks and uncertainties not presently known to us or that we currently deem immaterial may also impair our business operations and adversely affect our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most significant risks and uncertainties that we believe could adversely affect our business, financial condition and results of operations. The summary should be read in conjunction with the more detailed risk factors set forth in this “Risk Factors” section and the other information contained in this Annual Report on Form 10-K.</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extremely competitive industry and are subject to pricing pressures.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our audited financial statements include a statement that there is a substantial doubt about our ability to continue as a going concern. As our costs increase, we may not be able to generate sufficient revenue to achieve and sustain profitability.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 and we have substantial customer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negatively impacted by public health epidemics or outbreaks, including the novel coronavirus (“COVID-19”) as well as uncertainty in global economic conditions.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expand our sales and distribution channels and our ability to expend into international markets is uncertain.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all of our raw materials enter the United States through a limited number of ports, and we rely on third parties to store and ship some of our inventory; labor unrest at these ports or other product delivery difficulties could interfere with our distribution plans and reduce our revenue.</w:t>
      </w: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reviews, inquiries, investigations, and actions could harm our business or reputation and we are subject to litigation, tax, environmental and other legal compliance risks.</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manufacturers and suppliers and our operating results could be adversely affected by changes in the cost and availability of raw materials as well as increases in costs, disruption of supply, or shortage of any of our battery components, such as electronic and mechanical parts, or raw materials used in the production of such parts.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two warehouse facilities and if any of our facilities becomes inoperable for any reason or if our expansion plans fail, our ability to produce our products could be negatively impacted.</w:t>
      </w: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Lithium-ion battery cells have been observed to catch fire or release smoke and flame, which may have a negative impact on our reputation and business.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product liability claims relating to our products, which could result in significant costs and liabilities, which would reduce our profitability.</w:t>
      </w: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introduce new products and product enhancements and broad market acceptance of new technologies introduced by our competitors could adversely affect our business.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proprietary intellectual property and technology and we may need to defend ourselves against intellectual property infringement claims.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complete may dilute stockholders, have adverse effects on our business and cause unanticipated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electronic data is compromised or if we fail to keep pace with developments in technology, our business could be significantly harmed.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our stockholders may be diluted by future securities offerings and our long-term lease and debt obligations could adversely affect our ability to raise capital or enter into transactions.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employees, and significant attrition within our management team or unsuccessful succession planning could adversely affect our business.</w:t>
      </w:r>
    </w:p>
    <w:p>
      <w:pPr>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elect to comply with certain reduced reporting requirements applicable to emerging growth companies, which could make our securities less attractive to investors.</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significantly, and stockholders may be diluted by further share issuances, including due to the sale of substantial amounts of our shares in the public markets.</w:t>
      </w:r>
    </w:p>
    <w:p>
      <w:pPr>
        <w:jc w:val="both"/>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being a public company and our management team has limited experience in managing a public company. In addition, a failure to maintain effective internal control over financial reporting could adversely affect our business and stock price.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continues to have broad discretion as to the use of the net proceeds from our initial public offering and we do not anticipate paying dividends in the foreseeable future.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 listing of our common stock on Nasdaq.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 continues to have substantial control over us.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provides that the Nevada Eighth Judicial District Court of Clark County Nevada shall be the exclusive forum for certain litigation that may be initiated by our stockholders, including claims under the Securities Act, which could limit our stockholders’ ability to obtain a favorable judicial forum for disputes with us or our directors, officers or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extremely competitive industry and are subject to pricing pressures.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compete with a number of major international and domestic manufacturers, assemblers and distributors, as well as a large number of smaller, regional competitors. In addition, our customers have many choices for energy storage solutions in the markets that we serve including both traditional lead-acid products as well as lithium-ion products. We anticipate continued competitive pricing pressure, including due to foreign producers who are able to employ labor at significantly lower costs than producers in the U.S., expand their export capacity and increase their marketing presence in our major Americas markets. Several of our competitors have strong technical, marketing, sales, manufacturing, distribution and other resources, as well as significant name recognition, established positions in the market and long-standing relationships with OEMs and other customers. Our ability to maintain and improve our operating margins has depended, and continues to depend, on our ability to control and reduce our costs. We cannot assure you that we will be able to continue to control our operating, assembly and manufacturing expenses, to raise or maintain our prices or increase our unit volume or unit mix, in order to maintain or improve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$7,536,540 and $4,720,858 for the years ended December 31, 2022 and 2021,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common stock may significantly decrease, which may in turn have a material adverse effect on our ability to raise capital to grow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audited financial statements as of and for the years ended December 31, 2022 and 2021 were prepared on the assumption that we would continue as a going concern. For the years ended December 31, 2022 and 2021, the company has sustained recurring losses and negative cash flows from operations. These factors raise substantial doubt about our ability to continue as a going concern over the next twelve months and our independent auditors have included a “going concern” explanatory paragraph in their report on our financial statements as of and for the years ended December 31, 2022 and 2021. If our operating results fail to improve and/or if we fail to raise additional debt or equity financing, then our financial condition could render us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include dealers, wholesalers, private-label customers and original equipment manufacturers (“OEMs”). The demand for our products ultimately depends on consumers in our current end markets (primarily owners of RVs and marine vessels). These markets can be impacted by numerous factors, including, consumer spending, travel restrictions, fuel costs and energy demands (including an increasing trend towards the use of green energy) and overall economic conditions.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customer concentration, with a limited number of customers accounting for a substantial portion of our sales in 2022 and 2021.</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a limited number of customers. During the year ended December 31, 2022, sales to our top three customers totaled $2,905,326, comprising approximately 41% of our total sales, including sales to one customer, which totaled $1,346,344 or approximately 19% of our total sales. Amounts due from these customers totaled $127,795, representing approximately 43% of our total accounts receivable at December 31, 2022. During the year ended December 31, 2021, sales to one customer totaled $488,860 and comprised approximately 11% of our total sales. There were no accounts receivable from this customer as of December 31, 2021; however, amounts due from three other customers totaling $658,317 represented approximately 85% of our total accounts receivable at December 31, 2021. There are inherent risks whenever a large percentage of total revenues are concentrated with a limited number of customers. In addition, our sales are completed on a purchase order basis and most are without firm, long-term revenue commitments or sales arrangements. It is not possible for us to predict the future level of demand for our products and services that will be generated by our customers or the future demand for the products and services of our other customers. If any of our customers experience declining or delayed sales due to market, economic or competitive conditions, we could be pressured to reduce the prices we charge for our products which could have an adverse effect on our margins and financial position and could negatively affect our revenues and results of operations and/or trading price of our common stock. Furthermore, there is inherent risk associated with accounts receivable concentration as a deterioration in the financial condition of a limited number of account debtors, or any other factor which affects their ability or willingness to pay could in turn have a material adverse effect on our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continuously expanding our operations since our founding in 2016. As we continue to grow, we must continue to improve our managerial, technical and operational knowledge and allocation of resources, and to implement an effective management information system. To effectively manage our expanded operations, we need to continue to recruit and train managerial, accounting, internal audit, engineering, assembly and manufacturing, technical, sales and other staff to satisfy our development requirements and there are currently significant labor shortages in the market. In order to fund our ongoing operations and our future growth, we need to have sufficient internal sources of liquidity or access to additional financing from external sources. Furthermore, we will be required to manage relationships with a greater number of customers, suppliers, contractors, service providers, lenders and other third parties. We will need to further strengthen our internal control and compliance functions to ensure that we are able to comply with our legal and contractual obligations and to reduce our operational and compliance risks. We cannot assure you that we will not experience issues such as capital constraints, construction delays, operational difficulties at new locations, or difficulties in expanding our existing business and operations and in recruiting and training an increasing number of personnel to manage and operate the expanded business. Our expansion plans may also adversely affect our existing operations and thereby have a material adverse effect on our business, prospects,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negatively impacted by public health epidemics or outbreaks, including the novel coronavirus (“COVID-19”).</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public health crises and epidemics/pandemics, such as COVID-19. A widespread health crisis could adversely affect the global economy, resulting in an economic downturn that could impact our operations and demand for our products and therefore have a material adverse effect on our business and results of operations.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COVID-19 pandemic has had, and may continue to have, an adverse impact on our operations, supply chains and distribution systems. For example, we rely on our facilities in the United States, as well as third-party suppliers and manufacturers, in the United States, the People’s Republic of China (“PRC”), and other countries impacted by COVID-19. COVID-19 has resulted in the extended shutdown of certain businesses in many of these countries, due to prolonged quarantines and travel restrictions, which has resulted and may continue to result in disruptions or delays to our supply chain. In addition, the spreading of the virus may make it more difficult for us and our third-party manufacturers to find sufficient components or raw materials and component parts on a timely basis, or at a cost-effective price. Any performance failure on the part of any of our significant suppliers or third-party manufacturers could interrupt production of our products, which would have a material adverse effect on our business, financial condition and results of operations. In addition, we experienced shortages and workforce slowdowns due to stay-at-home mandates, illness among our workforce from COVID-19, delays in shipping finished products to customers and some delays in our receiving batteries and certain components. The highly competitive labor market has made it difficult to recruit and maintain a workforce properly sized and suited for our operational and strategic needs, which has further adversely impacted our business. We have also experienced increased expenses, including as a result of preventive and precautionary measures that we, other businesses and governments are taking. In addition, while the COVID-19 pandemic has positively impacted our battery sales due to more consumers adopting the RV lifestyle, there is no guarantee that any such increase would be sustained, which could cause our results of operations to fluctuate.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to which COVID-19 will continue to impact our operations will depend on future developments, which are highly uncertain and cannot be predicted with confidence, including the duration of the outbreak, new variants, new information which may emerge concerning the severity of the coronavirus and the actions to contain the coronavirus or treat its impact, as well as the distribution and effectiveness of COVID-19 vaccines, among others. A prolonged or worsened COVID-19 pandemic could adversely impact our operations, including among others, our manufacturing and supply chain, sales and marketing and could adversely impact demand for our products, in each case, which could in turn have an adverse impact on our business and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our sales and distribution channels, our business could suffer.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If we are unable to expand our sales and distribution channels, we may not be able to increase revenue or achieve market acceptance of our products. We have recently expanded our direct sales force and plan to recruit additional sales personnel. New sales personnel will require training and take time to achieve full productivity, and there is strong competition for qualified sales personnel in our business. In addition, we believe that our future success is dependent upon establishing successful relationships with a variety of distribution partners. To date, we have entered into agreements with only a small number of these distribution partners. We cannot be certain that we will be able to reach agreement with additional distribution partners on a timely basis or at all, or that these distribution partners will devote adequate resources to selling our products. Furthermore, if our distribution partners fail to adequately market or support our products, the reputation of our products in the market may suffer. In addition, we will need to manage potential conflicts between our direct sales force and any third-party reselling efforts. There can be no assurances that any of our efforts to expand our sales and distribution channels will be successful.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into international markets is uncertain.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strategy is to expand our operations into international markets. In addition to general risks associated with international expansion, such as foreign currency fluctuations and political and economic instability, we face the following risks and uncertainties any of which could prevent us from selling our products in a particular country or harm our business operations once we have established operations in that country:</w:t>
      </w:r>
    </w:p>
    <w:p>
      <w:pPr>
        <w:spacing w:after="0" w:line="17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costs of localizing products for foreign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modify our products to comply with local requirements in each country;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 direct sales presence in other countries, our need to establish relationships with distribution partners to sell our products in these markets and our reliance on the capabilities and performance of these distribution partners.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expand into international markets in the manner expected, our business, financial condition, results of operations and prospects may be materially and adversely affected.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Nearly all of our raw materials enter the United States through a limited number of ports and we rely on third parties to store and ship some of our inventory; labor unrest at these ports or other product deliver difficulties could interfere with our distribution plans and reduce our revenue.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rely exclusively on foreign manufacturers to manufacture the lithium-ion batteries used as raw materials in our products, as well as certain other of our raw materials. We may suffer delays in receiving raw materials due to work stoppages, strikes or lockouts or other bottlenecks at the ports through which our raw materials are shipped. Likewise, we rely on trucking carriers to deliver products from the port of arrival to our distribution facilities and from our distribution facilities to our customers. Additionally, in some cases, third parties sort, store and direct-ship products to our customers. Labor unrest or other disruptions could result in product shortages and delays in distributing our products to retailers, which could materially and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could negatively affect the Company’s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are directly affected by the general global economic conditions of the industries in which our major customer groups operate. Our business is also highly dependent on the economic and market conditions in each of the geographic areas in which we operate. Our products are heavily dependent on the end markets that we serve and our operating results will vary by location, depending on the economic environment in these markets. Sales of our RV and marine power products, for example, depend significantly on demand for new electric products for RV’s and marine applications, which, in turn, depends on end-user demand for RVs and boats. The uncertainty in global economic conditions varies by geographic location and can result in substantial volatility in global credit markets, particularly in the United States. These conditions, including levels of consumer spending, economic recessions, slow economic growth, economic and pricing instability, inflation levels, increase of interest rates, credit market volatility and adverse developments affecting financial institutions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could affect our business by reducing prices that our customers may be able or willing to pay for our products or by reducing the demand for our products. In addition, the Russia-Ukraine conflict has and may continue to further exacerbate disruptions in the global supply chain. As a result of sanctions imposed in relation to the Russia-Ukraine conflict, gas prices in the United States have risen to historic levels. This rise in price may cause a decrease in RV travel, which could ultimately negatively impact sales of our batteries for RVs. In 2022, we also experienced increased shipping costs as a result of increased fuel costs and shutdowns at the ports through which our lithium-ion batteries and other raw materials are shipped due to COVID-19 restrictions. Any of the above factors could, in turn, negatively impact our sales and earnings generation and result in a material adverse effect on our business, cash flow, results of operations and financial position.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reviews, inquiries, investigations, and actions could harm our business or reputation.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operate in various locations around the world, our operations in certain countries are subject to significant governmental scrutiny and may be adversely impacted by the results of such scrutiny. The regulatory environment with regard to our business is evolving, and officials often exercise broad discretion in deciding how to interpret and apply applicable regulations. From time to time, we receive formal and informal inquiries from various government regulatory authorities, as well as self-regulatory organizations, about our business and compliance with local laws, regulations or standards. Any determination that our operations or activities, or the activities of our employees, are not in compliance with existing laws, regulations or standards could result in the imposition of substantial fines, interruptions of business, loss of supplier, vendor, customer or other third-party relationships, termination of necessary licenses and permits, or similar results, all of which could potentially harm our business and/or reputation. Even if an inquiry does not result in these types of determinations, regulatory authorities could cause us to incur substantial costs or require us to change our business practices in a manner materially adverse to our business, and it potentially could create negative publicity which could harm our business and/or reputation.</w:t>
      </w:r>
    </w:p>
    <w:p>
      <w:pPr>
        <w:spacing w:after="0" w:line="1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changes in the cost and availability of raw materials and we are dependent on third-party manufacturers and suppliers.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rely on multiple third-party manufacturers located in China who also produce our battery cells and we intend to continue to rely on these suppliers going forward. Lithium-ion batteries are our most significant raw material and are used along with significant amounts of plastics, steel, copper and other materials in our assembly and manufacturing processes. Our third-party manufacturers source the raw materials and battery components required for the production of our batteries directly from third-party suppliers and thus we may have limited control over the agreed pricing for these raw materials and battery components. We estimate that raw material costs account for over half of our cost of goods sold. The costs of these raw materials, particularly lithium-ion batteries, are volatile and beyond our control. Additionally, availability of the raw materials used to manufacture our products may be limited at times resulting in higher prices and/or the need to find alternative suppliers. Furthermore, the cost of raw materials may also be influenced by transportation costs. Volatile raw material costs can significantly affect our operating results and make period-to-period comparisons extremely difficult. We cannot assure you that we will be able to either hedge the costs or that we or our third-party manufacturers will be able to secure the availability of our raw material requirements at a reasonable level or that we will be able to pass on to our customers the increased costs of our raw materials without affecting demand, or that limited availability of materials will not impact our production capabilities. Our inability to raise the price of our products in response to increases in prices of raw materials or to maintain a proper supply of raw materials could have an adverse effect on our revenue, operating profit, and net income.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during the years ended December 31, 2022 and 2021, approximately 85% and 90%, respectively, of inventory purchases were made from foreign suppliers in China and Hong Kong. Our dependence on a limited number of key third-party manufacturers and suppliers exposes us to challenges and risks in ensuring that we maintain adequate supplies required to produce our batteries. We do not have long-term purchase arrangements with our third-party manufacturers and our purchases are completed on a purchase order basis. Thus, although we carefully manage our inventory and lead-times, we may experience a delay or disruption in our supply chain and/or our current suppliers may not continue to provide us with lithium-ion batteries in our required quantities or to our required specifications and quality levels or at attractive prices. Our close working relationships with our China-based suppliers to-date, reflected in our ability to increase our purchase order volumes (qualifying us for related volume-based discounts) and to order and receive delivery of components in advance of required demand, has helped us moderate or offset increased supply-related costs associated with inflation, currency fluctuations and tariffs imposed on our battery imports by the U.S. government and avoid potential shipment delays. If we are unable to enter into or maintain commercial arrangements with these suppliers on favorable terms, or if any of these suppliers experience unanticipated delays, disruptions or shutdowns or other difficulties ramping up their supply of products or materials to meet our requirements, our assembly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our key manufacturers and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batteries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 may not continue to provide us with battery components in our required quantities, to our required specifications and quality levels or at attractive prices.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arrangements on favorable terms to us. We may also be exposed to fluctuations in the value of the U.S. dollar relative to the Renminbi with any appreciation in the value of the Renminbi increasing our costs for lithium-ion batteries and other raw materials sourced from China. Substantial increases in the prices for our lithium-ion batteries and other raw materials would increase our operating costs and negatively impact our results of operations. In addition, foreign currency fluctuations relative to the value of the U.S. dollar could affect the price of components and materials used in our batteries and sourced from countries other than the United States.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any of our battery components, such as electronic and mechanical parts, or raw materials used in the production of such parts could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experience increases in the cost or a sustained interruption in the supply or shortage of battery components. For example, a global shortage and component supply disruptions of electronic battery components are currently being reported, and the full impact to us is yet unknown. Other examples of shortages and component supply disruptions could include the supply of electronic components and raw materials (such as resins and other raw metal materials) that go into the production of our battery components. Any such cost increase or supply interruption could materially and negatively impact our business, prospects, financial condition and operating results. The prices for our battery components fluctuate depending on market conditions and global demand, and could adversely affect our business, prospects, financial condition and operating results. For instance, we are exposed to multiple risks relating to price fluctuations for battery cells. These risks include, but are not limited to:</w:t>
      </w:r>
    </w:p>
    <w:p>
      <w:pPr>
        <w:spacing w:after="0" w:line="189" w:lineRule="exact"/>
        <w:rPr>
          <w:sz w:val="20"/>
          <w:szCs w:val="20"/>
          <w:color w:val="auto"/>
        </w:rPr>
      </w:pPr>
    </w:p>
    <w:p>
      <w:pPr>
        <w:jc w:val="both"/>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shortages caused by the inability or unwillingness of suppliers and their competitors to build or operate component production facilities to supply the numbers of battery components required to support the rapid growth of the electric RV and marine component vehicle industry and other industries in which we operate as demand for such components increases;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electronic circuits due to quality issues or insufficient raw materials;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manufacturers of battery components;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raw materials.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dependent on the continued supply of battery components for our products. Any disruption in the supply of battery components could temporarily disrupt production of our products by our third-party manufacturers until a different supplier is fully qualified. The cost of our battery products depends in part upon the prices and availability of raw materials such as lithium, nickel, cobalt, and/or other metals which are used to produce battery components. Our third-party manufacturers source the raw materials and battery components required for the production of our batteries directly from third-party suppliers and thus we may have limited control over the agreed pricing for these raw materials and battery components. The prices for these materials fluctuate and their available supply may be unstable, depending on market conditions and global demand for these materials, including as a result of increased global production of electric vehicles and energy storage products Furthermore, fluctuations or shortages in petroleum and other economic conditions may cause us to experience significant increases in freight charges. 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damage our brand, business, prospects, financial condition and operating results.</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our two warehouse facilities. If our facilities become inoperable for any reason, our ability to produce our products could be negatively impacted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headquarters located in Redmond, Oregon. We currently operate one battery production line, which has been sufficient to meet customer demand. If this production line were to be inoperable for any period of time, we would face delays in meeting orders, which could prevent us from meeting demand or require us to incur unplanned costs, including capital expenditures. In addition, we have a second distribution warehouse in Elkhart, Indiana to service and provide a stocking location for several large manufacturers in the area.</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facilities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assemble our products for an extended period of time. The inability to produce our products or the backlog that could develop if any of our facilities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Our long-term target is to onshore the manufacturing of most of our components and assemblies, including cell manufacturing, to the United States. As part of this agenda, we have leased another facility in Redmond, Oregon and are in the process of constructing a new assembly line at this facility. Our plans for expansion may experience delays, incur additional costs or cause disruption to our existing production lines. The costs to successfully achieve our expansion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lithium-ion batteries use lithium iron phosphate (LiFePO4) as the cathode material for lithium-ion cells. On rare occasions,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lithium-ion batteries, we store a significant number of lithium-ion batteries at our facilities. Any mishandling, other safety issue or fire related to the cells or batteries could disrupt our operations. In addition, any accident, whether occurring at our facilities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potential product liability claims relating to our products, which could result in significant costs and liabilities, which would reduce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an inherent business risk of exposure to product liability claims in the event that the use of any of our products results in personal injury or property damage. We are also exposed to potential liability and product performance warranty risks that are inherent in the design, assemble, manufacture and sale of our products. In the event that any of our products prove to be defective, we may be required to recall or redesign such products, which would result in significant unexpected costs. Any insurance we maintain may not be available on terms acceptable to us or such coverage may not be adequate for liabilities actually incurred. Further, any claim or product recall could result in adverse publicity against us, which could adversely affect our sales or increase our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expose us to litigation, tax, environmental and other legal compliance risks.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variety of litigation, tax, environmental, health and safety and other legal compliance risks. These risks include, among other things, possible liability relating to product liability matters, personal injuries, intellectual property rights, contract-related claims, government contracts, taxes, health and safety liabilities, environmental matters and compliance with competition laws and laws governing improper business practices. We could be charged with wrongdoing as a result of such matters. If convicted or found liable, we could be subject to significant fines, penalties, repayments or other damages (in certain cases, treble damages). In the area of taxes, changes in tax laws and regulations, as well as changes in related interpretations and other tax guidance could materially impact our tax receivables and liabilities and our deferred tax assets and tax liabilities. We plan to manufacture lithium-ion batteries in the future which involves processing, storing, disposing of and otherwise moving large amounts of hazardous materials. As a result, we will be subject to extensive and changing environmental, health and safety laws, and regulations governing, among other things: the generation, handling, storage, use, transportation and disposal of hazardous materials; remediation of polluted ground or water; emissions or discharges of hazardous materials into the ground, air or water; and the health and safety of our employees. Our ongoing compliance with environmental, health and safety laws, regulations and permits could require us to incur significant expenses, limit our ability to modify or expand our facilities or continue production and require us to install additional pollution control equipment and make other capital improvements. In addition, private parties, including employees, could bring personal injury or other claims against us due to the presence of, or exposure to, hazardous substances used, stored or disposed of by us or contained in our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environmental laws assess liability on owners or operators of real property for the cost of investigation, removal or remediation of hazardous substances at their current or former properties or at properties at which they have disposed of hazardous substances. These laws may also assess costs to repair damage to natural resources. We may be responsible for remediating damage to our properties caused by former owners by our existing operations or by our future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environmental and climate laws or regulations could lead to new or additional investment in production designs and could increase environmental compliance expenditures. For example, the United States Environmental Protection Agency has promulgated regulations applicable to projects involving greenhouse gas emissions above a certain threshold, and the United States and certain states within the United States have enacted, or are considering, limitations on greenhouse gas emissions.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climate change concerns, or in the regulation of such concerns, including greenhouse gas emissions, could subject us to additional costs and restrictions, including increased energy and raw materials costs. Additionally, we cannot assure you that we have been or at all times will be in compliance with environmental laws and regulations or that we will not be required to expend significant funds to comply with, or discharge liabilities arising under, environmental laws, regulations and permits, or that we will not be exposed to material environmental, health or safety litigation.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the jurisdictions in which we conduct or in the future may conduct activities, including, the U.S. Foreign Corrupt Practices Act (“FCPA”). The FCPA generally prohibits companies and their intermediaries from making improper payments to non-U.S. officials for the purpose of obtaining or retaining business. The FCPA applies to companies, individual directors, officers, employees and agents. Under the FCPA, U.S. companies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Our policies mandate compliance with these antibribery laws. Despite meaningful measures that we undertake to facilitate lawful conduct, which include training and internal control policies, these measures may not always prevent reckless or criminal acts by our employees or agents as we expand our operations from the U.S. domestically to abroad.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involve significant management distraction and result in a material adverse effect on our competitive position, results of operations, cash flows or financial condition.</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introduce new products and product enhancements and broad market acceptance of new technologies introduced by our competitors could adversely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new energy storage technologies have been introduced over the past several years. For certain important and growing markets, such as aerospace and defense, lithium-based battery technologies have a large and growing market share. Our ability to achieve significant and sustained penetration of key developing markets, including the RV and marine markets, will depend upon our success in developing or acquiring these and other technologies, either independently, through joint ventures, or through acquisitions, which in each case may require significant capital. If we fail to develop or acquire, assemble and manufacture and sell, products that satisfy our customers’ demands, or we fail to respond effectively to new product announcements by our competitors by quickly introducing competitive products, then market acceptance of our products could be reduced and our business could be adversely affected. We cannot assure you that our portfolio of primarily lithium-ion products will remain competitive with products based on new technologies.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intellectual property and technology and we may need to defend ourselves against intellectual property infringement claims.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secret laws, non-disclosure agreements and other confidentiality procedures and contractual provisions to establish, protect and maintain our proprietary intellectual property and technology and other confidential information. Certain of these technologies, especially battery case construction, are important to our business and are not protected by patents. Despite our efforts to protect our proprietary intellectual property and technology and other confidential information, unauthorized parties may attempt to copy or otherwise obtain and use our intellectual property and proprietary technologies. If we are unable to protect our intellectual property and technology, we may lose any technological advantage we currently enjoy and may be required to take an impairment charge with respect to the carrying value of such intellectual property or goodwill established in connection with the acquisition thereof. In either case, our operating results and net income may be adversely affected. In addition, entities holding intellectual property rights relating to our technology may bring suits alleging infringement of such rights or otherwise asserting their rights and seeking licenses. Any such litigation or claims, whether or not valid or successful, could result in substantial costs and diversion of resources and our management’s attention. If we are determined to have infringed upon a third party’s intellectual property rights, we may have to pay substantial damages, obtain a license or cease making certain products, which in turn could have a material adverse effect on our business, operating results and financial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will depend upon the quality of our products and our relationships with customers. In the event that our products fail to meet our customers’ standards, our reputation could be harmed, which would adversely affect our marketing and sales efforts. We cannot assure you that our customers will not experience quality problems with our products.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that we complete may dilute stockholder ownership interests in the Company, may have adverse effects on our financial condition and results of operations and may cause unanticipated liabilities.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Future acquisitions may involve the issuance of our equity securities as payment, in part or in full, for the businesses or assets acquired. Any future issuances of equity securities would dilute stockholder ownership interests. In addition, future acquisitions might not increase, and may even decrease, our earnings or earnings per share and the benefits derived by us from an acquisition might not outweigh or might not exceed the dilutive effect of the acquisition. We also may incur additional debt or suffer adverse tax and accounting consequences in connection with any future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electronic data is compromised, our business could be significantly harmed.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our business partners maintain significant amounts of data electronically in locations around the world. This data relates to all aspects of our business, including current and future products and services under development, and also contains certain customer, supplier, partner and employee data. We maintain systems and processes designed to protect this data, but notwithstanding such protective measures, there is a risk of intrusion, cyberattacks, tampering, theft, misplaced or lost data, programming and/or human errors that could compromise the integrity and privacy of this data,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nonetheless those partners may also be subject to data intrusion or otherwise compromise the protection of such data. Any compromise of the confidential data of our customers, suppliers, partners, employees or ourselves, or failure to prevent or mitigate the loss of or damage to this data through breach of our information technology systems or other means could substantially disrupt our operations, harm our customers, employees and other business partners, damage our reputation, violate applicable laws and regulations, subject us to potentially significant costs and liabilities and result in a loss of business that could be material. We operate a number of critical computer systems throughout our business that can fail for a variety of reasons. If such a failure were to occur, we may not be able to sufficiently recover from the failure in time to avoid the loss of data or any adverse impact on certain of our operations that are dependent on such systems. This could result in lost sales and the inefficient operation of our facilities for the duration of such a failure.</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which could make us unable to fund our capital requirements and our stockholders may be diluted by future securities offerings.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or by entering into credit facilities or securing other types of financing. Additional financing may not be available on favorable terms or at all. If adequate funds are not available on acceptable terms, or at all, we may be unable to fund our capital requirements.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such as the closure of Silicon Valley Bank and the placement into receivership of Signature Bank in March 2023, have in the past and may in the future lead to market-wide liquidity problems. Although we do not have any cash or cash equivalent balances on deposit at Silicon Valley Bank as of the date of this Annual Report on Form 10-K, if other banks and financial institutions enter receivership or become insolvent in the future in response to financial conditions affecting the banking system and financial markets, our ability to raise additional financing or to access our existing cash, cash equivalents and investments may be threatened.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incur new debt,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8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significant attrition within our management team or unsuccessful succession planning could adversely affect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attract, retain and motivate senior management and other key employees. Achieving this objective may be difficult due to many factors, including fluctuations in global economic and industry conditions, competitors’ hiring practices, cost reduction activities, and the effectiveness of our compensation programs. Competition for qualified personnel can be very intense. We must continue to recruit, retain and motivate senior management and other key employees sufficient to maintain our current business and support our future projects. We are vulnerable to attrition among our current senior management team and other key employees. A loss of any such personnel, or the inability to recruit and retain qualified personnel in the future, could have an adverse effect on our business, financial condition and results of operations. In addition, if we are unsuccessful in our succession planning efforts, the continuity of our business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financial position, results of operations, and cash flows.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income and non-income tax regimes we are subject to or operate under are unsettled and may be subject to significant change. Changes in tax laws or tax rulings, or changes in interpretations of existing laws, could materially affect our financial position, results of operations, and cash flows. For example, changes to U.S. tax laws enacted in December 2017 had a significant impact on our tax obligations and effective tax rate beginning 2018. These enactments and future possible guidance from the applicable taxing authorities may have a material impact on the Company’s operating results. The Company closely monitors these proposals as they arise in the countries where it operates. Changes to the statutory tax rate may occur at any time, and any related expense or benefit recorded may be material to the fiscal quarter and year in which the law change is enacted. The Company regularly assesses the likely outcomes of its tax audits and disputes to determine the appropriateness of its tax reserves. However, any tax authority could take a position on tax treatment that is contrary to the Company’s expectations, which could result in tax liabilities in excess of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continues to demand the use of sophisticated systems and technology. These systems and technologies must be refined, updated and replaced with more advanced systems on a regular basis in order for us to meet our customers’ demands and expectations. If we are unable to do so on a timely basis or within reasonable cost parameters, or if we are unable to appropriately and timely train our employees to operate any of these new systems, our business could suffer. We also may not achieve the benefits that we anticipate from any new system or technology, such as fuel abatement technologies, and a failure to do so could result in higher than anticipated costs or could impair our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you may lose all or a part of your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price of our securities may be volatile and subject to wide price fluctuations in response to various factors, including:</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results of operations, or those of other companies in our industry;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strategic, technological, or regulatory threats, whether or not warranted by actual events;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securities analysts cover our stock;</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if any;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the lithium battery and accessory industry;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trading in our stock;</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 creative, or other talent;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 including changes in laws or regulations that are applicable to our business;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of our common stock by significant shareholders, the entity through which our controlling shareholder holds its investment, or other insiders;</w:t>
      </w: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securities to fluctuate substantially, which may limit or prevent investors from readily selling their securities and it may otherwise negatively affect the liquidity of our securities.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 you may not receive any return on investment unless you sell your common stock for a price greater than that which you paid for it.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and the repayment of outstanding debt. Our credit documents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may be influenced by the research and reports that securities or industry analysts publish about us or our business (or the absence of such research or reports). If one or more of these analysts cease coverage of our Company or fail to publish reports on us regularly, we could lose visibility in the financial markets, which in turn could cause our stock prices or trading volume to decline. Moreover, if one or more of the analysts who cover us downgrade recommendations regarding our stock, or if our results of operations do not meet their expectations, our stock prices could decline and such decline could be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will experience additional dilution upon the exercise of options and warrants to purchase our common stock, including those options currently outstanding and possibly those granted in the future, and the issuance of restricted stock or other equity awards under our stock incentive plans. As of March 27, 2023, we had 200,000,000 shares of common stock authorized of which 193,151,434 were unissued. Our Articles of Incorporation authorizes us to issue shares of common stock and options, rights, warrants and appreciation rights relating to common stock for the consideration and on the terms and conditions established by our Board of Directors in its sole discretion, whether in connection with our incentive plans, acquisitions or otherwise. We have reserved 1,000,000 shares of common stock for issuance upon the exercise of outstanding stock options under the 2021 Incentive Award Plan, (the “2021 Incentive Award Plan”) and 2,500,000 shares of common stock for issuance pursuant to our 2021 Equity Stock Purchase Plan (the “2021 ESPP”). In addition, as of March 27, 2023, there were 770,436 outstanding warrants to purchase 770,436 shares of our common stock. Any common stock that we issue, including stock issued under our 2021 Incentive Award Plan or other equity incentive plans that we may adopt in the future, as well as under outstanding options or warrants would dilute the percentage ownership held by our common stockholders. To the extent we raise additional capital by issuing equity securities, our stockholders may also experience substantial additional dilution.</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securities in the public markets, or the perception that such sales might occur, could reduce the price of our securities and may dilute your voting power and your ownership interest in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existing stockholders sell substantial amounts of our securities in the public market, the market price of our securities could decrease significantly. The perception in the public market that our stockholders might sell securities could also depress our market price. As of March 27, 2023, we had 6,848,566 shares of common stock outstanding. Pursuant to the terms of the warrants issued to the underwriters (or their designees) in connection with our initial public offering (the “Underwriter Warrants”), the holders of the Underwriter Warrants have the right, subject to certain conditions, to require us to register the sale of the shares of our common stock underlying their Underwriter Warrants under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holders of the Underwriter Warrants exercise their registration rights, the market price of shares of our securities may drop significantly. In addition, all of the shares of common stock issuable upon exercise of outstanding stock options under the 2021 Incentive Award Plan and all of the shares of common stock issuable pursuant to the 2021 ESPP have been registered for public resale under the Securities Act. A decline in the price of shares of our securities might impede our ability to raise capital through the issuance of additional shares of our common stock or other equity securities.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comply with public company regulations.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and particularly after we cease to be an “emerging growth company,” as defined in the Jumpstart Our Business Startups Act (“JOBS Act”), we will continue to incur significant legal, accounting and other expenses. In addition, the Sarbanes-Oxley Act of 2002 (“Sarbanes-Oxley”), as well as rules promulgated by the Securities and Exchange Commission (“SEC”) and NASDAQ, require us to adopt corporate governance practices applicable to U.S. public companies. Compliance with these rules and regulations will continue to increase our legal and financial compliance costs.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Sarbanes-Oxley, as well as rules and regulations subsequently implemented by the SEC and NASDAQ, have imposed increased disclosure and enhanced corporate governance practices for public companies. Our efforts to continue to comply with evolving laws, regulations and standards are likely to result in increased expenses and a diversion of management’s time and attention from revenue-generating activities to compliance activities. We may not be successful in continuing to implement these requirements and implementing them could adversely affect our business, results of operations and financial condition. In addition, if we fail to implement the requirements with respect to our internal accounting and audit functions, our ability to report our financial results on a timely and accurate basis could be impaired.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These obligations and constituents require significant attention from our senior management and can divert their attention away from the day-to-day management of our business, which can harm our business, operating results and financial condition.</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elect to comply with certain reduced reporting requirements applicable to emerging growth companies, which could make our securities less attractive to investors.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Sarbanes-Oxley,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securities less attractive because we chose to rely on these exemptions.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7(a)(2)(B) of the Securities Act for complying with new or revised accounting standards. We choose to avail ourselves of this extended transition period and defer adoption of certain changes in accounting standards.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in Section 101 of the JOBS Act, the “emerging growth company” classification can be retained for up to five years following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or until the earlier occurrence of the following:</w:t>
      </w:r>
    </w:p>
    <w:p>
      <w:pPr>
        <w:spacing w:after="0" w:line="207" w:lineRule="exact"/>
        <w:rPr>
          <w:sz w:val="20"/>
          <w:szCs w:val="20"/>
          <w:color w:val="auto"/>
        </w:rPr>
      </w:pPr>
    </w:p>
    <w:p>
      <w:pPr>
        <w:jc w:val="both"/>
        <w:ind w:left="660" w:hanging="652"/>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completion of this offering, (b) in which we have total annual gross revenue of at least $1.235 billion, or (c) in which we deemed to be a large accelerated filer, which means the market value of our common stock that is held by non-affiliates exceeded $700 million as of the prior June 30th; or</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some investors find our securities less attractive as a result of any choices to reduce future disclosure, there may be a less active market for our securities and our stock price may be more volatile.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in accordance with Section 404 of Sarbanes-Oxley could have a material adverse effect on our business and stock price.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required to comply with certain SEC rules that implement Sections 302 and 404 of Sarbanes-Oxley, which require management to certify financial and other information in our quarterly and annual reports and beginning with the Form 10-K filed for the year ending December 31, 2023, provide an annual management report on the effectiveness of our internal control over financial reporting. Though we are required to disclose changes made in our internal control procedures on a quarterly basis, we take advantage of certain exceptions from reporting requirements that are available to “emerging growth companies” under the JOBS Act. For example, each independent registered public accounting firm that performs an audit for us has not been required to attest to and report on our annual assessment of our internal controls over financial reporting pursuant to Section 404 and will not be required to do so until we are no longer an “emerging growth company” as defined in the JOBS Act and a non-accelerated filer in accordance with Rule 12b-2 under the Exchange Act. While we expect to be ready to comply with Section 404 of Sarbanes-Oxley by the applicable deadline, we cannot assure you that this will be the case. Furthermore, we may identify material weaknesses that we may be unable to remediate in time to meet the applicable deadline imposed upon us for compliance with the requirements of Section 404 of Sarbanes-Oxley. In addition, if we fail to achieve and maintain the adequacy of our internal controls, as such standards are modified, supplemented or amended from time to time, we may be unable to conclude that we have effective internal controls over financial reporting in accordance with Section 404 of Sarbanes-Oxley. If we are unable to implement the requirements of Section 404 of Sarbanes-Oxley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have a material adverse effect on our business, prospects, results of operations, and financial condition.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continues to have broad discretion as to the use of the net proceeds from our initial public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there have been no changes to our planned use of proceeds from our initial public offering, as disclosed in the final prospectus for our initial public offering, our management continues to have broad discretion in the application of the net proceeds. Accordingly, you will have to rely upon the judgment of our management with respect to the use of these proceeds. Our management may spend a portion or all of the net proceeds from our initial public offering in ways that holders of the shares may not desire or that may not yield a significant return or any return at all. Our management not applying these funds effectively could harm our business. Pending their use, we may also invest the net proceeds from our initial public offering in a manner that does not produce income or that loses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common stock on Nasdaq.</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our common stock is listed on Nasdaq, we must meet certain financial and liquidity criteria to maintain such listing. If we violate Nasdaq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become subject to the penny stock rules, it would become more difficult to trade our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common stock is less than $5.00,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w:t>
      </w:r>
    </w:p>
    <w:p>
      <w:pPr>
        <w:spacing w:after="0" w:line="1" w:lineRule="exact"/>
        <w:rPr>
          <w:sz w:val="20"/>
          <w:szCs w:val="20"/>
          <w:color w:val="auto"/>
        </w:rPr>
      </w:pPr>
    </w:p>
    <w:p>
      <w:pPr>
        <w:jc w:val="both"/>
        <w:ind w:firstLine="8"/>
        <w:spacing w:after="0" w:line="255" w:lineRule="auto"/>
        <w:tabs>
          <w:tab w:leader="none" w:pos="2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lease and debt obligations could adversely affect our ability to raise additional capital to fund operations and limit our ability to enter into certain transactions.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total liabilities of $5,091,966, of which $3,220,019 was related to operating lease liabilities and $510,475 was related to debt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cannot generate sufficient cash flow from operations to service our lease and debt obligations, we may need to further refinance our debt, dispose of assets or issue equity to obtain necessary funds. We do not know whether we will be able to do any of this on a timely basis or on terms satisfactory to us, or at all. Our substantial lease and debt obligations could have important consequences, including:</w:t>
      </w:r>
    </w:p>
    <w:p>
      <w:pPr>
        <w:spacing w:after="0" w:line="176"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or equity financing for working capital, capital expenditures, debt service requirements, acquisitions, and general corporate or other purposes may be limited;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from operations will be dedicated to payments on our lease and debt obligations and will not be available for other purposes, including operations, capital expenditures and future business opportunities;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in a downturn in general economic conditions or in business or may be unable to carry on capital spending that is important to our growth;</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our debt documents may impose significant operating and financial restrictions on us, including our ability to pay dividends and make other restricted payments or sell our collateral (other than inventory in the ordinary course of business);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new technologies or exploit business opportunities may be restricted;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disadvantage compared with competitors that have proportionately less lease and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 continues to have substantial control over 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27, 2023, John Yozamp, our Founder and Chief Business Development Officer, beneficially owns approximately 24.6% of our outstanding common stock, and, together with his brothers, Joel R. Yozamp and James Yozamp, Jr., 5.9% and 8.1%, respectively. As a consequence, Mr. Yozamp and his affiliates, including his brothers, are able to substantially influence matters requiring stockholder approval, including the election of directors, a merger, consolidation or sale of all or substantially all of our assets, and any other significant transaction. The interests of Mr. Yozamp and/or his affiliates may not always align with our interests or the interests of our other stockholders. For instance, this concentration of ownership may have the effect of delaying or preventing a change of control otherwise favored by our other stockholders and could depress our stock price.</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provides that the Nevada Eighth Judicial District Court of Clark County Nevada shall be the exclusive forum for certain litigation that may be initiated by our stockholders, including claims under the Securities Act,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provides that, subject to limited exceptions, the Nevada Eighth Judicial District Court of Clark County Nevada shall be, to the fullest extent permitted by law, be the sole and exclusive forum for (i) any derivative action or proceeding brought in the name or right of the Corporation or on its behalf, (ii) any action asserting a claim for breach of a fiduciary duty owed by any of our directors, officers, employees or agents to us or our stockholders, (iii) any action asserting a claim arising pursuant to any provision of Nevada Revised statutes Chapters 78 or 92A, our Articles of incorporation or our Bylaws, (iv) any action to interpret, apply, enforce or determine the validity of our Articles of Incorporation or Bylaws, or (v) any action asserting a claim governed by the internal affairs doctrine.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these choice of forum provisions would not apply to suits brought to enforce any duty or liability created by the Exchange Act or rules and regulations thereunder, and suits brought to enforce the Securities Act or rules and regulations thereunder are granted concurrent jurisdiction in federal and state courts pursuant to preemptive federal law, these choice of forum provisions may otherwise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Nevada Eighth Judicial District Court of Clark County Nevada could face additional litigation costs in pursuing any such claim, particularly if they do not reside in or near the State of Nevada. The Nevada Eighth Judicial District Court of Clark County Nevada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headquarters are in Redmond Oregon. This location houses our engineering, sales, accounting, and operations staff. It is also our primary product warehouse. Our headquarters is approximately 14,976 square feet, leased at a base rent set to increase by 3% every 12 months after January 31 of each year. For the period from January 31, 2022 up to January 31, 2023, the rental cost of our headquarters is $18,510.34 per month. In Q1 of 2022 we added a second distribution warehouse in Elkhart, Indiana to service and provide a stocking location for several large manufacturers in the area. Elkhart is a hub for RV manufacturing in the United States. Other east coast customers will be supported from this location to reduce shipping times and costs to the customers. The square footage of this facility is approximately 7,000 square feet, leased at a cost of $4,853.00 per month.</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onshoring agenda, we have also entered into an agreement to lease another facility in Redmond Oregon. This new facility is currently expected to be used for our first battery pack assembly plant in the United States. The square footage of this facility is approximately 31,425 square feet leased at a cost of $31,425.00 per month. Equipment for the assembly line was received in October 2022 due to a delay by our equipment supplier. We are working on set-up and development of additional equipment to automate the line, subject to market conditions We believe that these facilities are sufficient to meet our current and anticipated needs in the near term and that additional space can be obtained on commercially reasonable terms as needed.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routine litigation or subject to disputes or claims related to our business activities. Other than as described below, we are not currently party to any pending legal proceedings that we believe would, individually or in the aggregate, have a material adverse effect on our financial condition, cash flows or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November 22, 2022, Expion360 Inc. received notice of a complaint (the “Complaint”) filed against it in Oregon state court by Ravi Sinha. The Complaint alleges,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Mr. Sinha is entitled to 282,284 shares of the Company’s common stock, or in the alternative, $300,000 plus interest, in connection with services he previously rendered the Company as its chief executive officer. On March 21, 2023, the Company entered into a settlement agreement with Mr. Sinha and the matter has been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Capital Market under the symbol “XPON” since April 1, 2022. Prior to that,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27, 2023, there were 15 holders of record of our Common Stock. This does not reflect persons or entities that hold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do not anticipate that we will pay any dividends to holders of our common stock in the foreseeable future. Instead, we currently plan to retain any earnings to finance the growth of our business. Any future determination relating to dividend policy will be made at the discretion of our board of directors and will depend on our financial condition, results of operations, and capital requirements, as well as other factors deemed relevant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Item 12. “Security Ownership of Certain Beneficial Owners and Management and Related Stockholder Matters,”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201(e)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from Registered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fiscal year ended December 31, 2022 that were not previously reported in a Quarterly Report on Form 10-Q or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5, 2022, we completed our initial public offering of 2,145,000 shares of common stock, including shares issued upon the exercise in full of the underwriters’ option to purchase 321,750 additional shares of common stock, at a public offering price of $7.00 per share, resulting in aggregate gross proceeds of $17,267,250 and net proceeds of $14,772,487 after issuance costs of $2,494,763. The offer and sale of these shares were registered under the Securities Act pursuant to a registration statement on Form S-1 (File No. 333-262285), which was declared effective by the SEC on March 31, 2022. Paulson Investment Company LLC, Alexander Capital, LP and Revere Securities LLC acted as underwriters for the offering. Shares of our common stock began trading on The Nasdaq Capital Market on April 1, 2022 and, following the sale of all the shares upon the closing of the initial public offering on April 5, 2022, the offer terminated.</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 offering expenses were paid directly or indirectly to any of our directors, officers, persons owning 10% or more of any class of our equity securities, or to their associates, or to our affiliates. There has been no material change in the planned use of proceeds from our initial public offering from that described in the final prospectus for our initial public offering dated March 31, 2022 and filed with the SEC pursuant to Rule 424(b)(4) under the Securities Act on April 4, 2022 and those disclosed in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related notes for the fiscal years ended December 31, 2022 and 2021, included in this Annual Report on Form 10-K. Our future financial condition and results of operations, as well as any forward-looking statements, are subject to inherent risks and uncertainties that may adversely impact our operations and financial results. These risks and uncertainties are discussed in this Annual Report on Form 10-K, including in Item 1A. “Risk Factors” and “Cautionary Note Concerning Forward-Looking Statements”. Percentage amounts included in this section have not in all cases been calculated on the basis of rounded figures, but on the basis of such amounts prior to rounding. For this reason, percentage amounts in this section may vary from those obtained by performing the same calculations using the figures in our consolidated financial statements included elsewhere in this Annual Report on Form 10-K. Certain other amounts that appear in this section may not sum due to rounding.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focus on the design, assembly, manufacturing, and sales of lithium iron phosphate (LiFePO4) batteries and supporting accessories for recreational vehicles (“RVs”) and marine applications with plans to expand into home energy storage products and industrial applications. We design, assemble, and distribute high-powered, lithium battery solutions using ground-breaking concepts with a creative sales and marketing approach. We believe that our product offerings include some of the most dense and minimal-footprint batteries in the RV &amp; Marine industry. We are developing the e360 Home Energy Storage: a system that we expect to significantly change the industry in barrier price, flexibility, and integration. We are deploying multiple IP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based in Redmond, Oregon, with assembly in the United States and suppliers based in Asia. We are currently in the process of building out manufacturing capacity at our corporate headquarters. Our long-term target is to onshore the manufacturing of most of our components and assemblies, including cell manufacturing, to the United States.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main target markets are currently the RV &amp; Marine industry. We believe that we are well positioned to capitalize on the rapid market conversion from lead-acid to lithium batteries as the primary method of power sourcing in these industries. Additional focus markets include home energy storage, where we aim to provide a cost-effective, low barrier of entry, and a do-it-yourself (“DIY”) flexible system for those looking to power their homes via solar energy, wind, or grid back-up. Along with RV/Marine and home energy storage markets, we aim to provide additional capacities to the ever-expanding electric forklift and industrial material handling markets.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Expion360’s e360 product line, which is manufactured for the RV/Marine industry, was launched in December 2020. The e360 product line, through its rapid sales growth, has shown to be a preferred conversion solution for lead-acid batteries. We believe that our e360 Home Energy Storage system has strong revenue potential with recurring income opportunities for us and our associated sales partners.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products provide numerous advantages for various industries that are looking to migrate to lithium-based energy storage. They incorporate detailed-oriented design and engineering and strong case materials and internal and structural layouts, and are backed by responsive customer service.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2023, holders of 73,000 warrants previously issued by the Company with an exercise price of $2.90 exercised their warrants on a cashless basis, which resulted in the issuance of an additional 31,102 shares of the Company’s common stock. During the same period, holders of 15,000 warrants previously issued by the Company with an exercise price of $3.32 exercised their warrants by paying the exercise price, which resulted in the issuance of an additional 15,000 shares of common stock and the receipt by the Company of $49,800. As of the date of this Annual Report on Form 10-K, the Company had 770,436 outstanding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Leadership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Company made certain leadership changes which included appointing Brian Schaffner as Chief Executive Officer, succeeding company Co-Founder John Yozamp who resigned as Chief Executive Officer and as a Director and assumed the new position of Chief Business Development Officer. In addition, Co-Founder, Director and Chief Operating Officer, Paul Shoun, was appointed to the additional position of President. Greg Aydelott was also promoted from Chief Accounting Officer to Chief Financial Officer. Independent company director, David Hendrickson has been elected Chairman of the Board, succeeding John Yozamp.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2023, the Company repaid a vehicle loan with an interest rate of 11.21% in the amount of $89,360 which included principal, interest, and fees. The repayment removed debt with the highest interest rate and provides us with more flexibility to dispose or re-purpose the related asset, which is a 2019 Freightliner truck.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Products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2023, introduced AURA POWERCAP™ 600 and AURA POWERCAP™ 800. Expion360 began taking pre-orders of the new AURA POWERCAP™ 600 and 800 in Q1 2023 with anticipated deliveries Q2 2023. See “—</w:t>
      </w:r>
      <w:r>
        <w:rPr>
          <w:rFonts w:ascii="Times New Roman" w:cs="Times New Roman" w:eastAsia="Times New Roman" w:hAnsi="Times New Roman"/>
          <w:sz w:val="18"/>
          <w:szCs w:val="18"/>
          <w:i w:val="1"/>
          <w:iCs w:val="1"/>
          <w:color w:val="auto"/>
        </w:rPr>
        <w:t>Competitive Strengths—Expansion into New Markets</w:t>
      </w:r>
      <w:r>
        <w:rPr>
          <w:rFonts w:ascii="Times New Roman" w:cs="Times New Roman" w:eastAsia="Times New Roman" w:hAnsi="Times New Roman"/>
          <w:sz w:val="18"/>
          <w:szCs w:val="18"/>
          <w:color w:val="auto"/>
        </w:rPr>
        <w:t>” for additional information about the AURA POWERCAP™ 600 and AURA POWERCAP™ 800.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and financial performance are significantly dependent on the following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most of our current sales are generated through dealers, wholesalers and original equipment manufacturers (“OEM”) focused on the RV and marine markets, ultimate demand for our products is reliant on demand from consumers. Our sales are completed on a purchase order basis, and most are without firm, long-term revenue commitments or sales arrangements, which we expect to continue going forward. Therefore, our future sales will be subject to risks and uncertainties related to end user demand.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Demand from end users is affected by a number of factors which may include fuel costs, overall macroeconomic conditions, and travel restrictions (resulting from COVID-19 or otherwise). During the COVID-19 pandemic, the increased adoption of the RV lifestyle benefited battery suppliers. However, more recently we have seen a rise in fuel costs and other changes in macroeconomic conditions which has created a decrease in end user spending decisions which is affecting our markets.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RV and marine applications drive current revenues, Expion360 has plans to expand into the home energy market in the coming years. Our e360 Home Energy Storage system is planned to target entry level customers with its modular design that will allow for DIY expansion. We see the vision of stored energy as a portable, moving concept, where stored energy can be transported from the home to other devices outside of it. Furthermore, Expion360 plans to file for IP protection for Expion360’s “Smart Talk” upon completion of development. “Smart Talk” is designed to allow multiple batteries in a bank to communicate as one and be linked to a network. The success of our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 Chain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batteries are manufactured by multiple third-party manufacturers located in China, who also produce our battery cells. We then assemble and package the batteries in the United States for sale to our customers. While we do not have long-term purchase arrangements with our third-party manufacturers and our purchases are completed on a purchase order basis, we have had strong relationships with our third-party manufacturers spanning many years. Our close working relationships with our China-based third-party manufacturers and cell suppliers, reflected in our ability to increase our purchase order volumes (qualifying us for related volume-based discounts) and to order and receive delivery of cells in anticipation of required demand, has helped us moderate increased supply-related costs associated with inflation, currency fluctuations, and U.S. government tariffs imposed on our imports and to avoid potential shipment delays. We aim to maintain an appropriate level of inventory to satisfy our expected supply requirements. We believe that we could locate alternative third-party manufacturers to fulfill our needs.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source the raw materials and battery components required for the production of our batteries directly from third party suppliers that meet our approval and quality standards, and as a result, we may have limited control over the agreed pricing for these raw materials and battery components. We estimate that raw material costs account for over half of our cost of goods sold. The costs of these raw materials, particularly lithium-ion batteries, are volatile and beyond our control. Additionally, availability of the raw materials used to manufacture our products may be limited at times, resulting in higher prices and/or the need to find alternative suppliers. For example, a global shortage and component supply disruptions of electronic battery components are currently being reported, and the full impact to us is yet unknown. Our battery cell manufacturers also have joint venture factories outside of China and have secured sourcing contracts from lithium suppliers in South America and Australia. In addition, the Company has secured a secondary source for lithium iron phosphate cells used in its batteries from a supplier in Denmark, enabling the Company to source materials outside of China in the event it becomes necessary to do so.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Customer Mix</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sell six models of LiFEPO4 batteries, the AURA POWERCAP, and individual or bundled accessories for battery systems. Our products are sold to different customers (i.e., dealers, wholesalers, OEMs, etc.) at differing prices and have varying costs. The average selling price and costs of goods sold for a particular product, will vary with changes in the sales channel mix, volume of products sold, and the prices of such products sold relative to other products. While we work with our suppliers to limit price and supply cost increases, our products may see price increases resulting from a rise in supply costs due to currency fluctuations, inflation, and tariffs. Accessory and OEM sales typically have lower average selling prices and resulting margins which could decrease our margins and therefore negatively affect our growth or require us to increase the prices of our products. However, the benefits of increased sales volumes typically offset these reductions. The relative margins of products sold also impact our results of operation. As we introduce new products, we may see a change in product and sales channel mix which could result in period-to-period fluctuations in our overall gross margin.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with both traditional lead-acid and lithium-ion battery manufacturers that primarily either import their products or components or manufacture products under a private label. As we develop new products and expand into new markets, we may experience competition with a broader range of companies. These companies may have more resources than us and be able to allocate more resources to their current and future products. Our competitors may source products or components at a lower cost than us which may require us to evaluate our own costs, lower our product prices, or increase our sales volume to maintain our expected profitability levels.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additional investments in our infrastructure and research and development spending will be required to scale our operations and increase productivity, to address the needs of our customers, to further develop and enhance our service, and to expand into new geographic areas.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technologies are rapidly emerging in the markets where we conduct business and many new energy storage technologies have been introduced over the past several years. Our ability to achieve significant and sustained penetration of key developing markets, including the RV and marine markets, will depend upon our success in developing these and other technologies, either independently, through joint ventures, or through acquisitions, which in each case may require significant capital and commitment of resources to research and development. As a result, we may need to raise additional funds for these research and development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Line Items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721"/>
        <w:spacing w:after="0" w:line="266" w:lineRule="auto"/>
        <w:rPr>
          <w:sz w:val="20"/>
          <w:szCs w:val="20"/>
          <w:color w:val="auto"/>
        </w:rPr>
      </w:pPr>
      <w:r>
        <w:rPr>
          <w:rFonts w:ascii="Times New Roman" w:cs="Times New Roman" w:eastAsia="Times New Roman" w:hAnsi="Times New Roman"/>
          <w:sz w:val="18"/>
          <w:szCs w:val="18"/>
          <w:color w:val="auto"/>
        </w:rPr>
        <w:t>The Company’s revenue is generated from the sale of products consisting primarily of batteries and accessories. The Company recognizes revenue when control of goods or services is transferred to its customers in an amount that reflects the consideration it is expected to be entitled to in exchange for those goods or services. Materially, all of our sales are within the United States.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cost of sales is related to our direct product and landing costs. Direct labor costs consist of payroll costs (including taxes and benefits) of employees directly engaged in assembly activities. Per full absorption cost accounting, overhead related to our cost of sales is added, consisting primarily of warehouse rent and utilities. The costs can increase or decrease based on costs of product and assembly parts (purchased at market pricing), customer supply requirements, and the amount of labor required to assemble a product, along with the allocation of fixed overhead.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696"/>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sales and marketing costs. Other costs include facility and related costs, professional fees and other legal expenses, consulting, and tax and accounting services.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jc w:val="both"/>
        <w:ind w:right="20" w:firstLine="701"/>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costs on loans with interest rates ranging from 3.75% to 11.21% and amortization of debt issuance costs. As of December 31, 2022, all debt issuance costs have been fully amortized.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November 2021, the Company was a limited liability company taxed as a Subchapter S corporation and was not a taxpaying entity for federal income tax purposes. The Company’s taxable income or losses were allocated to its members in accordance with their respective ownership percentages. Therefore, no provision or liability for federal income taxes has been included in the accompanying historical financial statements. Certain states impose minimum franchise taxes on entities taxed as an S corporation, accordingly, the accompanying financial statements include provisions for state franchise tax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4" w:name="page35"/>
    <w:bookmarkEnd w:id="34"/>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and, as a result, became subject to corporate federal and state income taxes. Deferred tax assets and liabilities are recognized for the future tax consequences attributable to differences between the financial statement carrying amounts of existing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the provisions in ASC 740, Income Taxes, related to accounting for uncertain tax positions. It requires that the Company recognize the impact of a tax position in the financial statements if the position is more likely than not to be sustained upon examination and on the technical merits of the position. Management has concluded that there were no material unrecognized tax benefits at December 31, 2022 and 2021.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practice is to recognize interest and/or penalties related to income tax matters in income tax expense. The Company had no accrual for interest or penalties on the Company’s balance sheet at December 31, 2022 or 2021 and did not recognize interest and/or penalties in the statement of operations for the years ended December 31, 2022 and 2021, since there are no material unrecognized tax benefits. Management believes no material change to the amount of unrecognized tax benefits will occur within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operational data as a percentage of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 Ended 12/31/2022</w:t>
            </w:r>
          </w:p>
        </w:tc>
        <w:tc>
          <w:tcPr>
            <w:tcW w:w="260" w:type="dxa"/>
            <w:vAlign w:val="bottom"/>
          </w:tcPr>
          <w:p>
            <w:pPr>
              <w:spacing w:after="0"/>
              <w:rPr>
                <w:sz w:val="19"/>
                <w:szCs w:val="19"/>
                <w:color w:val="auto"/>
              </w:rPr>
            </w:pPr>
          </w:p>
        </w:tc>
        <w:tc>
          <w:tcPr>
            <w:tcW w:w="2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 Ended 12/31/2021</w:t>
            </w:r>
          </w:p>
        </w:tc>
      </w:tr>
      <w:tr>
        <w:trPr>
          <w:trHeight w:val="238"/>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6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Net sales</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7,162,837</w:t>
            </w:r>
          </w:p>
        </w:tc>
        <w:tc>
          <w:tcPr>
            <w:tcW w:w="3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4,517,499</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4,874,392</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2,871,770</w:t>
            </w:r>
          </w:p>
        </w:tc>
        <w:tc>
          <w:tcPr>
            <w:tcW w:w="3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2,288,445</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1,645,729</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8,241,859</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2,909,085</w:t>
            </w:r>
          </w:p>
        </w:tc>
        <w:tc>
          <w:tcPr>
            <w:tcW w:w="3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(5,953,414)</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(1,263,356)</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(1,591,976)</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(3,448,202)</w:t>
            </w:r>
          </w:p>
        </w:tc>
        <w:tc>
          <w:tcPr>
            <w:tcW w:w="3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(7,545,390)</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(4,711,558)</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-104.3</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(7,536,540)</w:t>
            </w:r>
          </w:p>
        </w:tc>
        <w:tc>
          <w:tcPr>
            <w:tcW w:w="3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(4,720,858)</w:t>
            </w:r>
          </w:p>
        </w:tc>
        <w:tc>
          <w:tcPr>
            <w:tcW w:w="3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net for the year ended December 31, 2022 increased by $2.6 million, or 58.6%, compared to the year ended December 31, 2021. Sales were $4.5 million for the year ended December 31, 2021 and $7.2 million for the year ended December 31, 2022. The year over year increase was primarily attributable to increases in our overall sales volumes as a result of our expanding product offerings, growing distribution network, and expanded OEM market penetration.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699"/>
        <w:spacing w:after="0" w:line="261" w:lineRule="auto"/>
        <w:rPr>
          <w:sz w:val="20"/>
          <w:szCs w:val="20"/>
          <w:color w:val="auto"/>
        </w:rPr>
      </w:pPr>
      <w:r>
        <w:rPr>
          <w:rFonts w:ascii="Times New Roman" w:cs="Times New Roman" w:eastAsia="Times New Roman" w:hAnsi="Times New Roman"/>
          <w:sz w:val="18"/>
          <w:szCs w:val="18"/>
          <w:color w:val="auto"/>
        </w:rPr>
        <w:t>Total cost of sales for the year ended December 31, 2022 increased by $2.0 million, or 69.7%, compared to the year ended December 31, 2021. Cost of sales were $2.9 million for the year ended December 31, 2021 and $4.9 million for the year ended December 31, 2022. Cost of sales as a percentage of sales increased by 4.5% in that period. The increase in cost of sales was primarily related to increases in facilities costs and labor as we expanded our operations, and in supplier and shipping costs, which the Company is currently monitoring.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97"/>
        <w:spacing w:after="0" w:line="258" w:lineRule="auto"/>
        <w:rPr>
          <w:sz w:val="20"/>
          <w:szCs w:val="20"/>
          <w:color w:val="auto"/>
        </w:rPr>
      </w:pPr>
      <w:r>
        <w:rPr>
          <w:rFonts w:ascii="Times New Roman" w:cs="Times New Roman" w:eastAsia="Times New Roman" w:hAnsi="Times New Roman"/>
          <w:sz w:val="18"/>
          <w:szCs w:val="18"/>
          <w:color w:val="auto"/>
        </w:rPr>
        <w:t>Our gross profit for the year ended December 31, 2022 increased by $643,000, or 39.1%, compared to the year ended December 31, 2021. Gross profit was $1.6 million for the year ended December 31, 2021 and $2.3 million for the year ended December 31, 2022. Gross profit as a percentage of sales decreased by 4.5% for the year ended December 31, 2022, from 31.9% to 36.4% for the year ended December 31, 2021. The decrease in gross profit for the year ended December 31, 2022 was primarily attributable to increases in facilities costs and labor as we expanded our operations, and in landed costs, which the Company is currently monitoring.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695"/>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$5.3 million, or 183%, to $8.2 million for the year ended December 31, 2022 compared to $2.9 million for the year ended December 31, 2021, primarily due to increased costs to support our growth in sales and business development efforts along with various expenses that were incurred due to planning and preparing for our initial public offering. The most substantial increases were in salaries and benefits, of which $2,114,529 was a non-cash expense attributable to stock-based compensation, legal and professional services incurred in anticipation of our initial public offering, sales and marketing, and rents and utilities.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Presented in the table below is the composition of 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52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6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72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60" w:type="dxa"/>
            <w:vAlign w:val="bottom"/>
          </w:tcPr>
          <w:p>
            <w:pPr>
              <w:spacing w:after="0"/>
              <w:rPr>
                <w:sz w:val="20"/>
                <w:szCs w:val="20"/>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3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4,864,239</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1,232,660</w:t>
            </w:r>
          </w:p>
        </w:tc>
        <w:tc>
          <w:tcPr>
            <w:tcW w:w="60" w:type="dxa"/>
            <w:vAlign w:val="bottom"/>
          </w:tcPr>
          <w:p>
            <w:pPr>
              <w:spacing w:after="0"/>
              <w:rPr>
                <w:sz w:val="18"/>
                <w:szCs w:val="18"/>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and professional</w:t>
            </w:r>
          </w:p>
        </w:tc>
        <w:tc>
          <w:tcPr>
            <w:tcW w:w="356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887,741</w:t>
            </w:r>
          </w:p>
        </w:tc>
        <w:tc>
          <w:tcPr>
            <w:tcW w:w="7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754,510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677,679</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316,431</w:t>
            </w:r>
          </w:p>
        </w:tc>
        <w:tc>
          <w:tcPr>
            <w:tcW w:w="60" w:type="dxa"/>
            <w:vAlign w:val="bottom"/>
          </w:tcPr>
          <w:p>
            <w:pPr>
              <w:spacing w:after="0"/>
              <w:rPr>
                <w:sz w:val="18"/>
                <w:szCs w:val="18"/>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Rents, maintenance, utilities</w:t>
            </w:r>
          </w:p>
        </w:tc>
        <w:tc>
          <w:tcPr>
            <w:tcW w:w="356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616,141</w:t>
            </w:r>
          </w:p>
        </w:tc>
        <w:tc>
          <w:tcPr>
            <w:tcW w:w="7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165,600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278,382</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58,544</w:t>
            </w:r>
          </w:p>
        </w:tc>
        <w:tc>
          <w:tcPr>
            <w:tcW w:w="60" w:type="dxa"/>
            <w:vAlign w:val="bottom"/>
          </w:tcPr>
          <w:p>
            <w:pPr>
              <w:spacing w:after="0"/>
              <w:rPr>
                <w:sz w:val="18"/>
                <w:szCs w:val="18"/>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expenses</w:t>
            </w:r>
          </w:p>
        </w:tc>
        <w:tc>
          <w:tcPr>
            <w:tcW w:w="356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217,626</w:t>
            </w:r>
          </w:p>
        </w:tc>
        <w:tc>
          <w:tcPr>
            <w:tcW w:w="7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72,354</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fees, tech support</w:t>
            </w:r>
          </w:p>
        </w:tc>
        <w:tc>
          <w:tcPr>
            <w:tcW w:w="3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190,222</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89,613</w:t>
            </w:r>
          </w:p>
        </w:tc>
        <w:tc>
          <w:tcPr>
            <w:tcW w:w="60" w:type="dxa"/>
            <w:vAlign w:val="bottom"/>
          </w:tcPr>
          <w:p>
            <w:pPr>
              <w:spacing w:after="0"/>
              <w:rPr>
                <w:sz w:val="18"/>
                <w:szCs w:val="18"/>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356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151,353</w:t>
            </w:r>
          </w:p>
        </w:tc>
        <w:tc>
          <w:tcPr>
            <w:tcW w:w="7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56,100</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Supplies, office</w:t>
            </w:r>
          </w:p>
        </w:tc>
        <w:tc>
          <w:tcPr>
            <w:tcW w:w="3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135,187</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88,448</w:t>
            </w:r>
          </w:p>
        </w:tc>
        <w:tc>
          <w:tcPr>
            <w:tcW w:w="60" w:type="dxa"/>
            <w:vAlign w:val="bottom"/>
          </w:tcPr>
          <w:p>
            <w:pPr>
              <w:spacing w:after="0"/>
              <w:rPr>
                <w:sz w:val="18"/>
                <w:szCs w:val="18"/>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560" w:type="dxa"/>
            <w:vAlign w:val="bottom"/>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128,202</w:t>
            </w:r>
          </w:p>
        </w:tc>
        <w:tc>
          <w:tcPr>
            <w:tcW w:w="7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35,563</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95,087</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39,262</w:t>
            </w:r>
          </w:p>
        </w:tc>
        <w:tc>
          <w:tcPr>
            <w:tcW w:w="60" w:type="dxa"/>
            <w:vAlign w:val="bottom"/>
          </w:tcPr>
          <w:p>
            <w:pPr>
              <w:spacing w:after="0"/>
              <w:rPr>
                <w:sz w:val="18"/>
                <w:szCs w:val="18"/>
                <w:color w:val="auto"/>
              </w:rPr>
            </w:pPr>
          </w:p>
        </w:tc>
      </w:tr>
      <w:tr>
        <w:trPr>
          <w:trHeight w:val="234"/>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8,241,859</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2,909,085</w:t>
            </w:r>
          </w:p>
        </w:tc>
        <w:tc>
          <w:tcPr>
            <w:tcW w:w="60" w:type="dxa"/>
            <w:vAlign w:val="bottom"/>
          </w:tcPr>
          <w:p>
            <w:pPr>
              <w:spacing w:after="0"/>
              <w:rPr>
                <w:sz w:val="20"/>
                <w:szCs w:val="20"/>
                <w:color w:val="auto"/>
              </w:rPr>
            </w:pPr>
          </w:p>
        </w:tc>
      </w:tr>
      <w:tr>
        <w:trPr>
          <w:trHeight w:val="542"/>
        </w:trPr>
        <w:tc>
          <w:tcPr>
            <w:tcW w:w="38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35</w:t>
            </w:r>
          </w:p>
        </w:tc>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other expense for the year ended December 31, 2022 and 2021 was $1.6 million and $3.4 million, respectively. Other expense for the year ended December 31, 2022 was made up almost entirely of interest expense. Other expense for the year ended December 31, 2021 was primarily attributable to extinguishment loss on debt settlement. The extinguishment of debt was related to settlement on convertible notes issued in 2021. The noteholders agreed to settle the debt for an aggregate 1,527,647 shares of common stock with a fair value of $5,545,359 ($3.63 per share). Since this transaction involved contemporaneous issuance of shares of common stock by the Company to the converting noteholders, we evaluated the transaction for modification and extinguishment accounting and determined that the debt was extinguished as a result of the issuance of shares that do not represent the exercise of a conversion right contained in the original terms of the notes at issuance. The settlement of the debt resulted in a recognized loss of $2,262,658 recorded as extinguishment loss on debt settlement on the accompanying statements of operations, calculated as the excess of the fair value of the shares issued over the carrying amount of the debt. In addition, the fair value of warrants of $407,700 issued in exchange for services related to obtain the notes (see Note 12 – Stockholders’ Equity-Warrants/Options) and the unamortized portion of debt discount remaining at date of settlement of $120,729 were also recorded as extinguishment loss on debt settlement for an aggregate loss of $2,791,087 on the accompanying statements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and 2021, non-cash amortization of debt discount totaled $1.2 million and $118,000, respectively. Interest expense attributable to debt obligations totaled $409,000 and $436,000 during the year ended December 31, 2022 and 2021, respectively. In April 2022, with the use of proceeds from the IPO, the Company paid off approximately $2.46 million in debt with interest rates ranging from 10 to 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net loss for the years ended December 31, 2022 and 2021 was $7.5 million and $4.7 million, respectively. The increase in net loss was primarily the result of increased selling, general, and administrative expenses as we invested in human resources, facilities, and business development in preparation of our expanded growth objectives along with an increase in legal and professional costs in connection with our initial public offering. Additionally, for the year ended December 31, 2022, the Company recognized $2.1 million in non-cash expenses related to stock-based compensation, compared to $188,000 for the year ended December 31, 2021. Further, for the year ended December 31, 2022, the Company recognized non-cash interest expense of approximately $1.2 million. Therefore, of the $7.5 million net loss for the year ended December 31, 2022, a total of $3.3 million was non-cash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95"/>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through net proceeds from the sale of securities and from borrowings. As of December 31, 2022 and 2021, our current assets exceeded current liabilities by $10.8 million and $3.2 million, respectively, and we had cash and cash equivalents of $7.2 million and $773,000, respectively. On April 1, 2022, we closed our initial public offering which resulted in approximately $14.8 million of net proceeds.</w:t>
      </w:r>
    </w:p>
    <w:p>
      <w:pPr>
        <w:spacing w:after="0" w:line="176" w:lineRule="exact"/>
        <w:rPr>
          <w:sz w:val="20"/>
          <w:szCs w:val="20"/>
          <w:color w:val="auto"/>
        </w:rPr>
      </w:pPr>
    </w:p>
    <w:p>
      <w:pPr>
        <w:jc w:val="both"/>
        <w:ind w:firstLine="711"/>
        <w:spacing w:after="0" w:line="266" w:lineRule="auto"/>
        <w:rPr>
          <w:sz w:val="20"/>
          <w:szCs w:val="20"/>
          <w:color w:val="auto"/>
        </w:rPr>
      </w:pPr>
      <w:r>
        <w:rPr>
          <w:rFonts w:ascii="Times New Roman" w:cs="Times New Roman" w:eastAsia="Times New Roman" w:hAnsi="Times New Roman"/>
          <w:sz w:val="18"/>
          <w:szCs w:val="18"/>
          <w:color w:val="auto"/>
        </w:rPr>
        <w:t>We generally consider our short-term liquidity requirements to consist of those items that are expected to be incurred within the next twelve months and believe those requirements to consist primarily of funds necessary to pay operating expenses, interest and principal payments on our debt, and capital expenditures related to assembly line expansion.</w:t>
      </w:r>
    </w:p>
    <w:p>
      <w:pPr>
        <w:spacing w:after="0" w:line="176" w:lineRule="exact"/>
        <w:rPr>
          <w:sz w:val="20"/>
          <w:szCs w:val="20"/>
          <w:color w:val="auto"/>
        </w:rPr>
      </w:pPr>
    </w:p>
    <w:p>
      <w:pPr>
        <w:jc w:val="both"/>
        <w:ind w:firstLine="714"/>
        <w:spacing w:after="0" w:line="282" w:lineRule="auto"/>
        <w:rPr>
          <w:sz w:val="20"/>
          <w:szCs w:val="20"/>
          <w:color w:val="auto"/>
        </w:rPr>
      </w:pPr>
      <w:r>
        <w:rPr>
          <w:rFonts w:ascii="Times New Roman" w:cs="Times New Roman" w:eastAsia="Times New Roman" w:hAnsi="Times New Roman"/>
          <w:sz w:val="18"/>
          <w:szCs w:val="18"/>
          <w:color w:val="auto"/>
        </w:rPr>
        <w:t>As of December 31, 2022, we expect our short-term liquidity requirements to include (a) approximately $379,000 of capital additions; (b) principal debt payments totaling approximately $571,000; and (c) lease obligation payments of approximately $719,000, including imputed interest.</w:t>
      </w:r>
    </w:p>
    <w:p>
      <w:pPr>
        <w:spacing w:after="0" w:line="162" w:lineRule="exact"/>
        <w:rPr>
          <w:sz w:val="20"/>
          <w:szCs w:val="20"/>
          <w:color w:val="auto"/>
        </w:rPr>
      </w:pPr>
    </w:p>
    <w:p>
      <w:pPr>
        <w:jc w:val="both"/>
        <w:ind w:firstLine="710"/>
        <w:spacing w:after="0" w:line="282" w:lineRule="auto"/>
        <w:rPr>
          <w:sz w:val="20"/>
          <w:szCs w:val="20"/>
          <w:color w:val="auto"/>
        </w:rPr>
      </w:pPr>
      <w:r>
        <w:rPr>
          <w:rFonts w:ascii="Times New Roman" w:cs="Times New Roman" w:eastAsia="Times New Roman" w:hAnsi="Times New Roman"/>
          <w:sz w:val="18"/>
          <w:szCs w:val="18"/>
          <w:color w:val="auto"/>
        </w:rPr>
        <w:t>We generally consider our long-term liquidity requirements to consist of those items that are expected to be incurred beyond the next twelve months and believe these requirements consist primarily of funds necessary for eighteen months.</w:t>
      </w:r>
    </w:p>
    <w:p>
      <w:pPr>
        <w:spacing w:after="0" w:line="162" w:lineRule="exact"/>
        <w:rPr>
          <w:sz w:val="20"/>
          <w:szCs w:val="20"/>
          <w:color w:val="auto"/>
        </w:rPr>
      </w:pPr>
    </w:p>
    <w:p>
      <w:pPr>
        <w:jc w:val="both"/>
        <w:ind w:firstLine="710"/>
        <w:spacing w:after="0" w:line="253"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failing to secure additional funding before the Company achieves sustainable revenues and profit from operations. The Company expects to continue to incur additional losses for the foreseeable future, and the Company may need to raise additional debt or equity financing to expand its presence in the marketplace, develop new products, achieve operating efficiencies, and accomplish its long-term business plan over the next several years. There can be no assurance as to the availability or terms upon which such financing and capital might be available. For the years ended December 31, 2022 and 2021, the Company sustained recurring losses and negative cash flows from operations. These factors raise substantial doubt about the Company’s ability to continue as a going concern within twelve months after the date that the financial statements for the year ended December 31, 2022 are issued. However, management is working to address its cash flow challenges, including raising additional capital, alternative supply chain resources, and in-house assembly lines. See also the risk factor entitled “Our audited financial statements include a statement that there is a substantial doubt about our ability to continue as a going concern and a continuation of negative financial trends could result in our inability to continue as a going concern” in Item 1A. “Risk Factors” of this Annual Report on Form 10-K.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 2022, we closed our initial public offering which resulted in approximately $14.8 million of net proceeds, of which approximately $2,464,000 was used to pay down principal and accrued interest on high interest-bearing debt.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long-term debt totaled $510,475, comprised of $150,114 outstanding under a COVID-19 Economic Injury Disaster Loan, $350,537 outstanding under vehicle financing arrangements, and an equipment loan for $9,824. In January 2023, the Company repaid a vehicle loan with an interest rate of 11.21% in the amount of $89,360 which included principal, interest, and fees. In addition, as of December 31, 2022, the Company had outstanding shareholder loans totaling $825,000.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Promissory Notes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Unsecured promissory notes due to shareholders had an outstanding principal balance of $825,000 as of December 31, 2022. The unsecured promissory notes require monthly interest-only payments at 10% per annum and mature at various dates from August 2023 to December 2024. See Item 13 “Certain Relationships and Related Transactions and Director Independence—Certain Related Party Transactions” for more information about the unsecured promissory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Financing Arrangements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has six notes payable to GM Financial for vehicles. In addition, in April 2022, the Company secured a commercial line of up to $300,000 to be used to finance vehicle purchases, which expires in April 2023. The notes are payable in aggregate monthly installments of $4,676, including interest at rates ranging from 5.89% to 7.29% per annum, mature at various dates from October 2027 to May of 2028, and are secured by the related vehicles. Two of the notes are personally guaranteed by a co-founder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8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spacing w:after="0"/>
              <w:rPr>
                <w:sz w:val="20"/>
                <w:szCs w:val="20"/>
                <w:color w:val="auto"/>
              </w:rPr>
            </w:pPr>
          </w:p>
        </w:tc>
      </w:tr>
      <w:tr>
        <w:trPr>
          <w:trHeight w:val="216"/>
        </w:trPr>
        <w:tc>
          <w:tcPr>
            <w:tcW w:w="4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4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(5,468,572)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(3,896,830)</w:t>
            </w: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(515,692)</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(113,694)</w:t>
            </w:r>
          </w:p>
        </w:tc>
      </w:tr>
      <w:tr>
        <w:trPr>
          <w:trHeight w:val="216"/>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12,412,270</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(4,493,087</w:t>
            </w:r>
          </w:p>
        </w:tc>
      </w:tr>
      <w:tr>
        <w:trPr>
          <w:trHeight w:val="560"/>
        </w:trPr>
        <w:tc>
          <w:tcPr>
            <w:tcW w:w="4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71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our products. Our primary use of cash from operating activities are for increases in inventory purchases, increased marketing, and research and development. In the last several years, we have generated negative cash flows from operating activities and have supplemented working capital requirements through net proceeds from the sales of membership interests/common stock and convertible notes and incurrence of indebtedness.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generated negative cash flows from operating activities of $5.5 million for the year ended December 31, 2022, compared to negative cash flows of $3.9 million for the corresponding period in 2021. Factors affecting operating cash flows during the periods included:</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our loss of $7.5 million was reduced by non-cash transactions including stock-based compensation of $2.1 million, amortization of debt discount on convertible notes of $1.2 million, and depreciation of $165,000. For the year ended December 31, 2021, our loss of $4.7 million was reduced by non-cash transactions including extinguishment loss on debt settlement of $2.8 million related to the settlement of convertible notes issued in 2021, stock-based compensation of $188,000, amortization of debt discount on convertible notes of $118,000, and debt conversion expense on induced conversion of $112,000.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provided/(used) by accounts receivable was $458,000 and ($566,000), for the year ended December 31, 2022 and 2021, respectively, representing a decrease in accounts receivable for the year ended December 31, 2022 and an increase in accounts receivable for the year ended December 31, 2021, respectively. Sales are generally collected within 30 to 45 days. These changes are mainly due to timing where a few large orders were placed and had open balances as of December 31, 2021, but they were within payment terms.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changes include a decrease in customer deposits of $437,000 during the year ended December 31, 2022, representing a use of cash in 2022 that customers deposited in 2021. Additionally, long-term deposits had no change during the year ended December 31, 2022 compared to an increase of $56,000 for the corresponding period in 2021. The increase in deposits in 2021 was primarily due to the addition of lease properties with corresponding security deposits paid in late 2021. No new deposits were made in 2022.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for inventory and prepaid inventories increased by $1.5 million and $2.4 million for the years ended December 31, 2022 and 2021, respectively. These increases are primarily due to significant purchases and prepayments of inventory to Chinese suppliers that were made in 2022 in order to have sufficient inventory for projected sales in 2022 and 2023. Turnaround time for receiving inventory from foreign sources can take up to 120 days, with prepayments required. Sales for the year ended December 31, 2022 increased over sales for the year ended December 31, 2021 by $2.6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used cash in investing activities of $516,000 for the year ended December 31, 2022. Cash used for capital purchases of property and equipment related to expanding and improving our facilities and infrastructure was $567,000 during the year ended December 31, 2022. This was offset by net proceeds of $52,000 received for the sale of property and equipment during the year ended December 31, 2022. We anticipate that we will spend up to $379,000 in 2023 as we continue to automate our new assembly line and enhance our quality control measures.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of $114,000 for the year ended December 31, 2021 consisted entirely of purchases of property and equipment.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$12.4 million for the year ended December 31, 2022. For the year ended December 31, 2022, we paid down debt principal of $2.4 million, which was offset by net cash proceeds of $14.8 million from the sale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$4.5 million for the year ended December 31, 2021, consisted of $4.2 million net proceeds from issuance of convertible notes and long-term debt, proceeds of $838,000 from the issuance of membership units/common stock, and proceeds of $125,000 on sale of future revenues. This was partially offset by payments on debt and liability of future revenues of $636,000.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long-term operating lease liabilities. As of December 31, 2022, we had $3.2 million in long-term operating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financial statements. The preparation of financial statements in conformity with GAAP requires management to make estimates and judgments that affect the reported amounts of assets, liabilities, revenue and expenses, and disclosures of contingent assets and liabilities. Our significant accounting policies are described in Note 2 of the accompanying financial statements for the years ended December 31, 2022 and 2021. Critical accounting policies are those that we consider to be the most important in portraying our financial condition and results of operations and also require the greatest number of judgments by management. Judgments or uncertainties regarding the application of these policies may result in materially different amounts being reported under different conditions or using different assumptions. We consider the following policies to be the most critical in understanding the judgments that are involved in preparing the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(first in, first out) or net realizable value and consists of batteries and accessories, resale items, components, and related landing costs. As of December 31, 2022 and December 31, 2021, the Company had inventory that consisted of finished assemblies totaling $2,722,765 and $985,537, respectively, and raw materials (inventory components, parts, and packaging) totaling $1,807,371 and $1,066,343, respectively. The valuation of inventory includes fixed production overhead costs based on normal capacity of the assembly warehouse.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2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QA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Tooling and molds</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lives of the assets are capitalized; other repairs and maintenance charges are expensed as incurred. The cost and related accumulated depreciation and amortization applicable to assets retired are removed from the accounts, and the gain or loss on disposition is recognized in the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(“ROU”) assets represent the Company’s right to use an underlying asset during the lease term, and operating lease liabilities represent the Company’s obligation to make lease payments arising from the lease. Operating leases are included in ROU assets, current operating lease liabilities, and long-term operating lease liabilities on the Company’s Balance Sheets. The Company does not have any finance leases.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Lease ROU assets and lease liabilities are initially recognized based on the present value of the future minimum lease payments over the lease term at commencement date calculated using the Company’s incremental borrowing rate applicable to the lease asset, unless the implicit rate is readily determinable. ROU assets also include any lease payments made at or before lease commencement and exclude any lease incentives received. The Company’s lease terms may include options to extend or terminate the lease when it is reasonably certain that the Company will exercise that option. Leases with a term of 12 months or less are not recognized on the Company’s Balance Sheet. The Company’s leases do not contain any residual value guarantees. Lease expense for minimum lease payments is recognized on a straight-line basis over the lease term.</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for all its leases.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revenue is generated from the sale of products consisting primarily of batteries and accessories. The Company recognizes revenue when control of goods or services is transferred to its customers in an amount that reflects the consideration it is expected to be entitled to in exchange for those goods or services. To determine revenue recognition, the Company performs the following five steps: (i) identify the contract(s) with a customer;</w:t>
      </w:r>
    </w:p>
    <w:p>
      <w:pPr>
        <w:spacing w:after="0" w:line="1" w:lineRule="exact"/>
        <w:rPr>
          <w:sz w:val="20"/>
          <w:szCs w:val="20"/>
          <w:color w:val="auto"/>
        </w:rPr>
      </w:pPr>
    </w:p>
    <w:p>
      <w:pPr>
        <w:jc w:val="both"/>
        <w:ind w:firstLine="8"/>
        <w:spacing w:after="0" w:line="253" w:lineRule="auto"/>
        <w:tabs>
          <w:tab w:leader="none" w:pos="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(iii) determine the transaction price; (iv) allocate the transaction price to the performance obligation(s) in the contract; and (v) recognize revenue when (or as) the performance obligation(s) are satisfied. Revenue is recognized upon shipment or delivery to the customer, as that is when the customer obtains control of the promised goods and the Company’s performance obligation is considered satisfied. As such, accounts receivable is recorded at the time of shipment or will call, when the Company’s right to the consideration becomes unconditional and the Company determines there are no uncertainties regarding payment terms or transfer of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Shipping and handling fees billed to customers are classified on the Statement of Operations as “Sales, net” and totaled $23,188 and $25,688 during the years ended December 31, 2022 and 2021, respectively. Shipping and handling costs for shipping product to customers totaled $169,335 and $102,653 during the years ended December 31, 2022 and 2021, respectively, and are classified in selling, general and administrative expense in the accompanying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charged to expense amounted to $270,054 and $58,044 for the years ended December 31, 2022 and 2021, respectively, and are included in selling, general and administrative expenses in the accompanying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January 1, 2017 to October 31, 2021, the Company was not subject to federal or state income taxes since it was a limited liability company taxed as an S corporation. The Company’s taxable income or losses were allocated to its members in accordance with their respective ownership percentages. Therefore, no provision or liability for federal income taxes was included in the accompanying financial statements for the relevant periods in 2021. Certain states impose minimum franchise taxes on entities taxed as an S corporation. Accordingly, the accompanying financial statements include provisions for state franchise tax fees.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and, as a result, became subject to corporate federal and state income taxes. Deferred tax assets and liabilities are recognized for the future tax consequences attributable to differences between the financial statement carrying amounts of exiting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The CARES Act provides sweeping tax changes in response to the COVID-19 pandemic. Some of the more significant provisions are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As of December 31, 2022 and 2021, the Company has not recorded any income tax provision/(benefit) resulting from the CARES Act, mainly due to the Company’s history of net operating losses.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27, 2020, the United States enacted the Consolidated Appropriations Act of 2021 (“CAA”). The CAA includes provisions extending certain CARES Act provisions and adds coronavirus relief, tax and health extenders. The Company will continue to evaluate the impact of the CAA and its impact on its financial statements in 2022 and beyond.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Item 304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8 is found in a separate section of this Annual Report starting on page F-1. See the “Index to Financial Statements”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disclosure controls and procedures for our company. Consequently, our management, with the participation of our chief executive officer and chief financial officer, evaluated the effectiveness of our disclosure controls and procedures pursuant to Rule 13a-15 under the Exchange Act as of December 31, 2022, the end of the period covered by this Annual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there were no changes in our internal control over financial reporting that materially affected, or are reasonably likely to materially affect, our internal control over financial reporting (as defined in Exchange Act Rules 13a-15(f) and 15d-15(f) under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consists of four directors, and each director’s term expires at each annual meeting of stockholders. Our executive officers are appointed by the directors and the directors may, at any time, terminate the appointment or otherwise revoke, withdraw, alter, or vary all or any of the functions, duties, and powers of the officer.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positions, and a brief account of business experience, of the individuals who serve as the executive officers and directors as of the date of this filing: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4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53</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Yozamp</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56</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Co-Founder and Chief Business Development Officer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Paul Shoun</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52</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Co-Founder and President and Chief Operating Officer and Director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Greg Aydelott</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4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David Hendrickson</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George Lefevre</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54</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Steven M. Shum</w:t>
            </w: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51</w:t>
            </w: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Brian Schaffner – CEO</w:t>
      </w:r>
      <w:r>
        <w:rPr>
          <w:rFonts w:ascii="Times New Roman" w:cs="Times New Roman" w:eastAsia="Times New Roman" w:hAnsi="Times New Roman"/>
          <w:sz w:val="18"/>
          <w:szCs w:val="18"/>
          <w:color w:val="auto"/>
        </w:rPr>
        <w:t>. Mr. Schaffner has served as our Chief Executive Officer since January 26, 2023 and was previously our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beginning in March 2021. Mr. Schaffner is a seasoned executive having served over the past three decades in a variety of capacities including CEO, CFO, CIO, controller and VP Finance in senior-living, assisted-living skilled nursing facilities, retail stores and schools. Mr. Schaffner’s educational instructional experience includes the secondary and university levels with courses including accounting, cost accounting, management, personal finance, welding, auto mechanics and aviation ground school. Mr. Schaffner graduated from Walla Walla College with a Bachelor of Science in Business Administration and Accounting in 1992, and from the University of Phoenix with a Masters in Business Administration in 1997.</w:t>
      </w:r>
    </w:p>
    <w:p>
      <w:pPr>
        <w:spacing w:after="0" w:line="182"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Yozamp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Co-Founder and Chief Business Development Officer</w:t>
      </w:r>
      <w:r>
        <w:rPr>
          <w:rFonts w:ascii="Times New Roman" w:cs="Times New Roman" w:eastAsia="Times New Roman" w:hAnsi="Times New Roman"/>
          <w:sz w:val="18"/>
          <w:szCs w:val="18"/>
          <w:color w:val="auto"/>
        </w:rPr>
        <w:t>. Mr. Yozamp has served as our Co-Founder and Chief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since January 26, 2023 and was previously our Chief Executive Officer since our inception in June 2016. Mr. Yozamp boasts over 30 years of sales and marketing experience, of which includes 24 years of product concept, development and manufacturing. Mr. Yozamp was recognized in the HDTV’s “Best New Idea” at the 2008 Chicago Hardware Show. In 2008, Mr. Yozamp supported the #1 item sold at the Sam’s club individual road show. Just prior to launching Expion360, Mr. Yozamp was founder, owner, and operator of the largest solar manufacturing company (Zamp solar) in the US focusing on the RV and off grid markets.</w:t>
      </w:r>
    </w:p>
    <w:p>
      <w:pPr>
        <w:spacing w:after="0" w:line="182"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Paul Shoun – Co-Founder and President and Chief Operating Officer and Director</w:t>
      </w:r>
      <w:r>
        <w:rPr>
          <w:rFonts w:ascii="Times New Roman" w:cs="Times New Roman" w:eastAsia="Times New Roman" w:hAnsi="Times New Roman"/>
          <w:sz w:val="18"/>
          <w:szCs w:val="18"/>
          <w:color w:val="auto"/>
        </w:rPr>
        <w:t>. Mr. Shoun has served as our Co-Founder,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since January 26, 2023 and was previously our Chief Operating Officer since March 2020. Before joining the Company, Mr. Shoun worked at Tensility International Corporation, where he served as a Business Development Manager, Project Manager and Manufacturing Manager from October 2014 to March 2020. Prior to October 2014, Mr. Shoun spent over 17 years as the managing director of a corporate consulting firm. Mr. Shoun brings over 30 years of engineering and corporate management experience. Mr. Shoun brings extensive expertise in project management, product development, engineering leadership, business accounting, ERP/CRM system management, and product marketing. Mr. Shoun’s prior notable clients include Chrysler, Boeing, Nike IHM, Intel, and Daimler Trucks North America. We believe Mr. Shoun is qualified to serve on our board of directors because of his extensive experience in engineering, product development and product marketing and his role in building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3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 Aydelott – Chief Financial Officer. </w:t>
      </w:r>
      <w:r>
        <w:rPr>
          <w:rFonts w:ascii="Times New Roman" w:cs="Times New Roman" w:eastAsia="Times New Roman" w:hAnsi="Times New Roman"/>
          <w:sz w:val="18"/>
          <w:szCs w:val="18"/>
          <w:color w:val="auto"/>
        </w:rPr>
        <w:t>Mr. Aydelott has served as our Chief Financial Officer since January 26, 2023 and was previously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Accounting Officer since May 10, 2022. Prior to his appointment as Chief Accounting Officer of the Company, Mr. Aydelott served as our Controller from February 22, 2022 until May 10, 2022. Before joining the Company, Mr. Aydelott worked at Samaritan Health Services in Corvallis, Oregon from June 2021 to March 2022, where he served as Sr. Financial Analyst. Samaritan Health Services is a regional hospital system serving three counties and has no affiliation with the Company. Before joining Samaritan Health Services in June 2021, Mr. Aydelott was Director of Business Operations of Mission Senior Living in Carson City, Nevada from January 2016 to June 2021. Mission Senior Living is a growing senior housing company with communities in four states and has no affiliation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5"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Hendrickson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Chairman and Independent Director. </w:t>
      </w:r>
      <w:r>
        <w:rPr>
          <w:rFonts w:ascii="Times New Roman" w:cs="Times New Roman" w:eastAsia="Times New Roman" w:hAnsi="Times New Roman"/>
          <w:sz w:val="18"/>
          <w:szCs w:val="18"/>
          <w:color w:val="auto"/>
        </w:rPr>
        <w:t>Mr. Hendrickson serves on our board of directors as the Chairman. Mr. Hendrickson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accomplished business advisor of publicly traded global corporations across many industries. He has an intimate understanding of effective corporate governance and how it affects a company’s valuation. He has served as CEO of DLH International since 2001. His focus includes board governance, organizational development, C-suite buildouts, strategic planning, compensation, marketing and Environmental, Social, and Corporate Governance (ESG) risk factors. Prior to founding DLH International, he was a Senior Partner and Board Member at Heidrick &amp; Struggles International, Inc. (Nasdaq: HSII), in London, Paris, New York and Greenwich. He was a founding partner of the Firm’s Transnational Practice and a senior member of the Firm’s International Technology Practice. Mr. Hendrickson began his career with International Business Machines Corporation (NYSE: IBM) and held various marketing, sales, product development and management positions and was a member of the IBM Personal Computer announcement team. He contributed to the book, “The IBM Way: Insights into the World's Most Successful Marketing Organization.” Mr. Hendrickson completed the Driving Strategic Innovation Program, International Institute for Management Development (IMD), Lausanne, Switzerland, the Entrepreneurship Development Program, Massachusetts Institute of Technology Sloan School of Management, Cambridge, MA and the National Association Corporate Directors (NACD) Master Class®: Cyber-Risk Oversight. Mr. Hendrickson serves on the advisory board of a private liberal arts college and has served on private company boards. He served as an elected Board Member of the Rainforest Alliance, New York, NY, and the Stanford Institute for the Quantitative Study of Society (SIQSS), Stanford University. He is an active member of the National Association of Corporate Directors. We believe Mr. Hendrickson is qualified to serve on our board of directors because of his extensive experience working with publicly traded global companies and corporate governance expertise.</w:t>
      </w:r>
    </w:p>
    <w:p>
      <w:pPr>
        <w:spacing w:after="0" w:line="183"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George Lefevre – Independent Director</w:t>
      </w:r>
      <w:r>
        <w:rPr>
          <w:rFonts w:ascii="Times New Roman" w:cs="Times New Roman" w:eastAsia="Times New Roman" w:hAnsi="Times New Roman"/>
          <w:sz w:val="18"/>
          <w:szCs w:val="18"/>
          <w:color w:val="auto"/>
        </w:rPr>
        <w:t>. Mr. Lefevre serves on our board of directors. Mr. Lefevre is a business consultant focused on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structural guidance for companies. From 2009 through 2020, Mr. Lefevre was the founder of HAPA Capital, LLC. HAPA was a consulting firm specializing in biotechnology and frontier technology. From 2014 through 2015, Mr. Lefevre was the CEO of a startup company that completed a change in management effective June 26, 2014, and expanded into hemp and cannabidiol (“CBD”) industry. The expansion was focusing on the development, research, and commercialization of products derived from hemp and cannabis plants. From 1991 to 1998, Mr. Lefevre directly invested in and managed investment portfolios. Mr. Lefevre was also the President of GL Investment Group, a regional investment bank in Southern California where he was directly responsible for providing in excess of $500 million in funding to biotechnology and high-tech companies. Mr. Lefevre graduated from California State University, Long Beach with a Bachelor of Science in Business Administration, majoring in Finance. We believe Mr. Lefevre is qualified to serve on our board of directors because of his extensive experience serving in leadership roles at other public companies and extensive investment experience.</w:t>
      </w:r>
    </w:p>
    <w:p>
      <w:pPr>
        <w:spacing w:after="0" w:line="185" w:lineRule="exact"/>
        <w:rPr>
          <w:sz w:val="20"/>
          <w:szCs w:val="20"/>
          <w:color w:val="auto"/>
        </w:rPr>
      </w:pPr>
    </w:p>
    <w:p>
      <w:pPr>
        <w:jc w:val="both"/>
        <w:ind w:firstLine="63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M. Shum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Independent Director. </w:t>
      </w:r>
      <w:r>
        <w:rPr>
          <w:rFonts w:ascii="Times New Roman" w:cs="Times New Roman" w:eastAsia="Times New Roman" w:hAnsi="Times New Roman"/>
          <w:sz w:val="17"/>
          <w:szCs w:val="17"/>
          <w:color w:val="auto"/>
        </w:rPr>
        <w:t>Mr. Shum serves on our board of directors. Mr. Shum is the CEO of INVO Bioscience, Inc. (Nasdaq:</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INVO), a position he has held since October 10, 2019, and is also a director of INVO Bioscience, Inc., a position he has held since October 11, 2017. Previously, Mr. Shum was Interim Chief Executive Officer (from May 2019 to October 7, 2019) and Chief Financial Officer of Eastside Distilling (Nasdaq: ESDI) (from October 2015 to August 2019). Prior to joining Eastside, Mr. Shum served as an Officer and Director of XZERES Corp, a publicly-traded global renewable energy company, from October 2008 until April 2015 in various officer roles, including Chief Operating Officer from September 2014 until April 2015, Chief Financial Officer, Principal Accounting Officer and Secretary from April 2010 until September 2014 (under former name, Cascade Wind Corp) and Chief Executive Officer and President from October 2008 to August 2010. Mr. Shum also serves as the managing principal of Core Fund Management, LP and the Fund Manager of Core Fund, LP. He was a founder of Revere Data LLC (now part of Factset Research Systems, Inc.) and served as its Executive Vice President for four years, heading up the product development efforts and contributing to operations, business development, and sales. He spent six years as an investment research analyst and portfolio manager of D.N.B. Capital Management, Inc. His previous employers include Red Chip Review and Laughlin Group of Companies. He earned a B.S. in Finance and a B.S. in General Management from Portland State University in 1992. We believe Mr. Shum is qualified to serve on our board of directors because of his extensive experience serving in leadership roles at other public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(the “Audit Committee”) established in accordance with Section 3(a)(58)(A) of the Exchange Act. Our Audit Committee consists of Messrs. Lefevre, Shum and Hendrickson, each of whom meet the requirements for independence under the rules of The Nasdaq Stock Market LLC and SEC rules and regulations and is financially literate. Mr. Shum is the chair of our Audit Committee and has been determined by our board of directors to be an “audit committee financial expert” as such term is defined under SEC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Shareholder Director Nomination Process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changes in 2022 to the process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On January 3, 2022, our board of directors adopted a written code of business conduct and ethics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on the investor relations page of our website at www.expion360.com and.</w:t>
      </w:r>
    </w:p>
    <w:p>
      <w:pPr>
        <w:spacing w:after="0" w:line="180"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We intend to disclose future amendments to such code,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Annual Report on Form 10-K does not include or incorporate by reference the information on our website into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 and Other Arrangements</w:t>
      </w:r>
    </w:p>
    <w:p>
      <w:pPr>
        <w:spacing w:after="0" w:line="229" w:lineRule="exact"/>
        <w:rPr>
          <w:sz w:val="20"/>
          <w:szCs w:val="20"/>
          <w:color w:val="auto"/>
        </w:rPr>
      </w:pPr>
    </w:p>
    <w:p>
      <w:pPr>
        <w:jc w:val="both"/>
        <w:ind w:right="20" w:firstLine="638"/>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 There are no arrangements or understandings between or among our executive officers and directors pursuant to which any director or executive officer was or is to be selected as a director or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on our review of the copies of such forms filed with the SEC and upon any written representations of the Reporting Persons received by us, we believe that during the fiscal year ended December 31, 2022, there have been five late Form 3 filings for each of Brian Schaffner, Paul Shoun, John Yozamp, Steve Shum and George Lefevre and there have been six late Form 4 filings for each of Brian Schaffner, Paul Shoun, John Yozamp, David Hendrickson, Steve Shum and George Lefevre, in each case covering one transaction.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“Summary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Table” below. In 2022, our “named executive officers” and their positions were as follows:</w:t>
      </w:r>
    </w:p>
    <w:p>
      <w:pPr>
        <w:spacing w:after="0" w:line="9" w:lineRule="exact"/>
        <w:rPr>
          <w:sz w:val="20"/>
          <w:szCs w:val="20"/>
          <w:color w:val="auto"/>
        </w:rPr>
      </w:pPr>
    </w:p>
    <w:p>
      <w:pPr>
        <w:ind w:left="980" w:hanging="324"/>
        <w:spacing w:after="0" w:line="26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Schaffner, who currently serves as our Chief Executive Officer, and who served as our Chief Financial Officer through January 25, 2023;</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Shoun, who serves as our Co-Founder, President and Chief Operating Officer;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Yozamp, who currently serves as Co-Founder and Chief Business Development Officer and served as our Chief Executive Officer through January 25, 2023.</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2021 and December 31, 2022.</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6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6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1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9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Schaffner (5)</w:t>
            </w:r>
          </w:p>
        </w:tc>
        <w:tc>
          <w:tcPr>
            <w:tcW w:w="5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102,741</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515,550</w:t>
            </w:r>
          </w:p>
        </w:tc>
        <w:tc>
          <w:tcPr>
            <w:tcW w:w="0" w:type="dxa"/>
            <w:vAlign w:val="bottom"/>
          </w:tcPr>
          <w:p>
            <w:pPr>
              <w:spacing w:after="0"/>
              <w:rPr>
                <w:sz w:val="1"/>
                <w:szCs w:val="1"/>
                <w:color w:val="auto"/>
              </w:rPr>
            </w:pPr>
          </w:p>
        </w:tc>
      </w:tr>
      <w:tr>
        <w:trPr>
          <w:trHeight w:val="191"/>
        </w:trPr>
        <w:tc>
          <w:tcPr>
            <w:tcW w:w="3960" w:type="dxa"/>
            <w:vAlign w:val="bottom"/>
            <w:tcBorders>
              <w:left w:val="single" w:sz="8" w:color="auto"/>
              <w:right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Chief Executive Officer; Former Chief Financial</w:t>
            </w: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6"/>
                <w:szCs w:val="16"/>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0" w:type="dxa"/>
            <w:vAlign w:val="bottom"/>
          </w:tcPr>
          <w:p>
            <w:pPr>
              <w:spacing w:after="0"/>
              <w:rPr>
                <w:sz w:val="1"/>
                <w:szCs w:val="1"/>
                <w:color w:val="auto"/>
              </w:rPr>
            </w:pPr>
          </w:p>
        </w:tc>
      </w:tr>
      <w:tr>
        <w:trPr>
          <w:trHeight w:val="234"/>
        </w:trPr>
        <w:tc>
          <w:tcPr>
            <w:tcW w:w="39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Officer</w:t>
            </w: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78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7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Shoun</w:t>
            </w:r>
          </w:p>
        </w:tc>
        <w:tc>
          <w:tcPr>
            <w:tcW w:w="5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534,672</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815,672</w:t>
            </w:r>
          </w:p>
        </w:tc>
        <w:tc>
          <w:tcPr>
            <w:tcW w:w="0" w:type="dxa"/>
            <w:vAlign w:val="bottom"/>
          </w:tcPr>
          <w:p>
            <w:pPr>
              <w:spacing w:after="0"/>
              <w:rPr>
                <w:sz w:val="1"/>
                <w:szCs w:val="1"/>
                <w:color w:val="auto"/>
              </w:rPr>
            </w:pPr>
          </w:p>
        </w:tc>
      </w:tr>
      <w:tr>
        <w:trPr>
          <w:trHeight w:val="223"/>
        </w:trPr>
        <w:tc>
          <w:tcPr>
            <w:tcW w:w="39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Chief Operating Officer</w:t>
            </w:r>
          </w:p>
        </w:tc>
        <w:tc>
          <w:tcPr>
            <w:tcW w:w="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165,824</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165,824</w:t>
            </w:r>
          </w:p>
        </w:tc>
        <w:tc>
          <w:tcPr>
            <w:tcW w:w="0" w:type="dxa"/>
            <w:vAlign w:val="bottom"/>
          </w:tcPr>
          <w:p>
            <w:pPr>
              <w:spacing w:after="0"/>
              <w:rPr>
                <w:sz w:val="1"/>
                <w:szCs w:val="1"/>
                <w:color w:val="auto"/>
              </w:rPr>
            </w:pPr>
          </w:p>
        </w:tc>
      </w:tr>
      <w:tr>
        <w:trPr>
          <w:trHeight w:val="223"/>
        </w:trPr>
        <w:tc>
          <w:tcPr>
            <w:tcW w:w="396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Yozamp</w:t>
            </w:r>
          </w:p>
        </w:tc>
        <w:tc>
          <w:tcPr>
            <w:tcW w:w="5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376,845</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742,845</w:t>
            </w:r>
          </w:p>
        </w:tc>
        <w:tc>
          <w:tcPr>
            <w:tcW w:w="0" w:type="dxa"/>
            <w:vAlign w:val="bottom"/>
          </w:tcPr>
          <w:p>
            <w:pPr>
              <w:spacing w:after="0"/>
              <w:rPr>
                <w:sz w:val="1"/>
                <w:szCs w:val="1"/>
                <w:color w:val="auto"/>
              </w:rPr>
            </w:pPr>
          </w:p>
        </w:tc>
      </w:tr>
      <w:tr>
        <w:trPr>
          <w:trHeight w:val="191"/>
        </w:trPr>
        <w:tc>
          <w:tcPr>
            <w:tcW w:w="3960" w:type="dxa"/>
            <w:vAlign w:val="bottom"/>
            <w:tcBorders>
              <w:left w:val="single" w:sz="8" w:color="auto"/>
              <w:right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Chief Business Development Officer; Former</w:t>
            </w: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197,269</w:t>
            </w:r>
          </w:p>
        </w:tc>
        <w:tc>
          <w:tcPr>
            <w:tcW w:w="4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6"/>
                <w:szCs w:val="16"/>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197,269</w:t>
            </w:r>
          </w:p>
        </w:tc>
        <w:tc>
          <w:tcPr>
            <w:tcW w:w="0" w:type="dxa"/>
            <w:vAlign w:val="bottom"/>
          </w:tcPr>
          <w:p>
            <w:pPr>
              <w:spacing w:after="0"/>
              <w:rPr>
                <w:sz w:val="1"/>
                <w:szCs w:val="1"/>
                <w:color w:val="auto"/>
              </w:rPr>
            </w:pPr>
          </w:p>
        </w:tc>
      </w:tr>
      <w:tr>
        <w:trPr>
          <w:trHeight w:val="234"/>
        </w:trPr>
        <w:tc>
          <w:tcPr>
            <w:tcW w:w="396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78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7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base salary earned by each named executive officer during the applicable year</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named executive officers voluntarily chose to forego any bonuses for 2022.</w:t>
      </w:r>
    </w:p>
    <w:p>
      <w:pPr>
        <w:spacing w:after="0" w:line="9" w:lineRule="exact"/>
        <w:rPr>
          <w:rFonts w:ascii="Times New Roman" w:cs="Times New Roman" w:eastAsia="Times New Roman" w:hAnsi="Times New Roman"/>
          <w:sz w:val="18"/>
          <w:szCs w:val="18"/>
          <w:color w:val="auto"/>
        </w:rPr>
      </w:pPr>
    </w:p>
    <w:p>
      <w:pPr>
        <w:jc w:val="both"/>
        <w:ind w:left="660" w:right="2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options granted during 2022 computed in accordance with ASC Topic 718, rather than the amounts paid to or realized by the named individual. We provide information regarding the assumptions used to calculate the value of all option awards made to executive officers in Note 12 to our audited financial statements included this Annual Report on Form 10-K.</w:t>
      </w:r>
    </w:p>
    <w:p>
      <w:pPr>
        <w:spacing w:after="0" w:line="1"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includes: (i) $1,500 in consulting fees and $10,305 in home office expenses for Mr. Schaffner, (ii) $9,000 in home office expenses and $12,000 in automobile expenses for Mr. Shoun and (iii) $12,000 in home office expenses and $24,000 in automobile expenses for Mr. Yozamp.</w:t>
      </w: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Schaffner served as a CFO consultant from March 2021 until his appointment as Chief Financial Officer in February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Salaries; Consulting Fee</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As of January 1, 2022, Mr. Schaffner was providing consulting services to the Company at the rate of $1,500 per month. He began receiving an annual base salary of $120,000 beginning on February 21, 2022. As of January 1, 2022, the annual base salary for Mr. Shoun was $260,000 and the annual base salary for Mr. Yozamp was $330,000. The annual base salaries of Messrs. Schaffner, Shoun and Yozamp were changed to $270,400, $270,400 and $283,200 respectively, effective January 26,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Annual Bonuses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2022, target bonuses were not established for the named executive officers, and they voluntarily declined participation in the discretionary year-end holiday bonuses provided to other employees. Therefore, no annual bonuses were paid to the named executive officers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4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adopted the 2021 Incentive Award Plan (the “2021 Incentive Award Plan”). The purpose of the 2021 Incentive Award Plan is to enhance our ability to attract, retain and motivate persons who make, or we believe can make, important contributions by providing these individuals with equity ownership opportunities and/or equity-linked compensatory opportunities. We believe that equity awards are necessary to remain competitive in the industry in which we operate in and are essential in recruiting and retaining the highly qualified service providers who help thus meet our goals.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8" w:name="page49"/>
    <w:bookmarkEnd w:id="4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2022, Messrs. Yozamp, Shoun and Schaffner were granted stock options under the 2021 Incentive Award Plan as set forth below. The stock options vested immediately upon grant. The executive officers had not been granted stock options prior to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20" w:type="dxa"/>
            <w:vAlign w:val="bottom"/>
          </w:tcPr>
          <w:p>
            <w:pPr>
              <w:spacing w:after="0"/>
              <w:rPr>
                <w:sz w:val="21"/>
                <w:szCs w:val="21"/>
                <w:color w:val="auto"/>
              </w:rPr>
            </w:pPr>
          </w:p>
        </w:tc>
        <w:tc>
          <w:tcPr>
            <w:tcW w:w="2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 Stock Options Granted</w:t>
            </w:r>
          </w:p>
        </w:tc>
      </w:tr>
      <w:tr>
        <w:trPr>
          <w:trHeight w:val="45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28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Paul Shoun</w:t>
            </w:r>
          </w:p>
        </w:tc>
        <w:tc>
          <w:tcPr>
            <w:tcW w:w="28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200,000</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John Yozamp</w:t>
            </w:r>
          </w:p>
        </w:tc>
        <w:tc>
          <w:tcPr>
            <w:tcW w:w="28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179,500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Substantially all employees are eligible to participate. We have the option to make profit sharing contributions to our 401(k) plan at our discretion. No profit-sharing contributions have yet been made. The Internal Revenue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Health/Welfare Plans.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which include medical and vision benefits.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duration of 2022, our named executive officers received the following perquisites:</w:t>
      </w:r>
    </w:p>
    <w:p>
      <w:pPr>
        <w:spacing w:after="0" w:line="225" w:lineRule="exact"/>
        <w:rPr>
          <w:sz w:val="20"/>
          <w:szCs w:val="20"/>
          <w:color w:val="auto"/>
        </w:rPr>
      </w:pPr>
    </w:p>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Car: Mr. Shoun was entitled to automobile expenses of $1,000 per month and Mr. Yozamp was entitled to automobile expenses of $2,000 per month.</w:t>
      </w:r>
    </w:p>
    <w:p>
      <w:pPr>
        <w:jc w:val="both"/>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Office Reimbursement Expenses; Messrs. Schaffner and Yozamp were each entitled to $1,000 per month in home office reimbursement expenses (with Mr. Schaffner’s expenses prorated for the month of February). Mr. Shoun was entitled to $1000 per month in home office reimbursement expenses but elected to only take $750 per month for 2022.</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Security: While Messrs. Shoun and Yozamp’s Initial Employment Agreements (as defined below) each provide for full time security benefits, they did not receive any such benefits in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Fees</w:t>
      </w:r>
    </w:p>
    <w:p>
      <w:pPr>
        <w:spacing w:after="0" w:line="227" w:lineRule="exact"/>
        <w:rPr>
          <w:sz w:val="20"/>
          <w:szCs w:val="20"/>
          <w:color w:val="auto"/>
        </w:rPr>
      </w:pPr>
    </w:p>
    <w:p>
      <w:pPr>
        <w:ind w:right="400" w:firstLine="648"/>
        <w:spacing w:after="0" w:line="414" w:lineRule="auto"/>
        <w:rPr>
          <w:sz w:val="20"/>
          <w:szCs w:val="20"/>
          <w:color w:val="auto"/>
        </w:rPr>
      </w:pPr>
      <w:r>
        <w:rPr>
          <w:rFonts w:ascii="Times New Roman" w:cs="Times New Roman" w:eastAsia="Times New Roman" w:hAnsi="Times New Roman"/>
          <w:sz w:val="18"/>
          <w:szCs w:val="18"/>
          <w:color w:val="auto"/>
        </w:rPr>
        <w:t xml:space="preserve">Mr. Schaffner received $1,500 for consulting work performed for the Company before being named Chief Financial Officer in February 2022 </w:t>
      </w:r>
      <w:r>
        <w:rPr>
          <w:rFonts w:ascii="Times New Roman" w:cs="Times New Roman" w:eastAsia="Times New Roman" w:hAnsi="Times New Roman"/>
          <w:sz w:val="18"/>
          <w:szCs w:val="18"/>
          <w:i w:val="1"/>
          <w:iCs w:val="1"/>
          <w:color w:val="auto"/>
        </w:rPr>
        <w:t>No Tax Gross Ups</w:t>
      </w:r>
    </w:p>
    <w:p>
      <w:pPr>
        <w:spacing w:after="0" w:line="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our company.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Exercise Price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Expiration</w:t>
            </w:r>
          </w:p>
        </w:tc>
      </w:tr>
      <w:tr>
        <w:trPr>
          <w:trHeight w:val="238"/>
        </w:trPr>
        <w:tc>
          <w:tcPr>
            <w:tcW w:w="27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Exercisable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278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Brian Schaffner (1)(2)</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5/2/2022</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6"/>
                <w:szCs w:val="16"/>
                <w:color w:val="auto"/>
              </w:rPr>
            </w:pPr>
          </w:p>
        </w:tc>
        <w:tc>
          <w:tcPr>
            <w:tcW w:w="1780" w:type="dxa"/>
            <w:vAlign w:val="bottom"/>
            <w:tcBorders>
              <w:top w:val="single" w:sz="8" w:color="auto"/>
            </w:tcBorders>
          </w:tcPr>
          <w:p>
            <w:pPr>
              <w:ind w:left="1240"/>
              <w:spacing w:after="0" w:line="191" w:lineRule="exact"/>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5/2/2032</w:t>
            </w:r>
          </w:p>
        </w:tc>
      </w:tr>
      <w:tr>
        <w:trPr>
          <w:trHeight w:val="216"/>
        </w:trPr>
        <w:tc>
          <w:tcPr>
            <w:tcW w:w="2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Paul Shoun (1)(2)</w:t>
            </w:r>
          </w:p>
        </w:tc>
        <w:tc>
          <w:tcPr>
            <w:tcW w:w="1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5/2/2022</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5/2/2032</w:t>
            </w:r>
          </w:p>
        </w:tc>
      </w:tr>
      <w:tr>
        <w:trPr>
          <w:trHeight w:val="234"/>
        </w:trPr>
        <w:tc>
          <w:tcPr>
            <w:tcW w:w="2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John Yozamp (1)(2)</w:t>
            </w:r>
          </w:p>
        </w:tc>
        <w:tc>
          <w:tcPr>
            <w:tcW w:w="1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5/2/2022</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179,500</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3.70(3)</w:t>
            </w:r>
          </w:p>
        </w:tc>
        <w:tc>
          <w:tcPr>
            <w:tcW w:w="10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each of the awards were vested and exercisable immediately upon the grant date.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stock options granted to the named executive officers in 2022 are incentive stock options.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Mr. Yozamp holds common stock in the Company possessing more than 10% of the total combined voting power of all classes of stock in the Company, Section 422 of the Code requires that the exercise price of an incentive stock option granted to him will be at least 110% of the fair market value of a share of common stock on the date of grant, and not to remain exercisable for a period of longer than 5 years from the date of grant.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Initial Employment Agreements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15, 2021, we entered into employment agreements with our then Chief Executive Officer and Chairman of our board of directors, John Yozamp, and our Chief Operating Officer, Paul Shoun; on February 21, 2022, we entered into an employment agreement with our then Chief Financial Officer, Brian Schaffner (together, the “Initial Employment Agreements”) to reflect their compensation arrangements. The Initial Employment Agreements entered into with Mr. Shoun and Mr. Yozamp each had a term of employment with a three-year duration, while the Initial Employment Agreement entered into with Mr. Schaffner had an employment term with a one-year duration. Under the terms of the Initial Employment Agreements, Mr. Schaffner was entitled to a base salary of $120,000, Mr. Shoun was entitled to a base salary of $260,000 and Mr. Yozamp was entitled to a base salary of $330,000. Each executive officer was also eligible for an annual bonus, to be granted by the Company’s board of directors or compensation committee based on performance objectives and targets established annually. Under the Initial Employment Agreements, Messrs. Schaffner, Shoun and Yozamp were also entitled to participate in the Plan and in any profit sharing, qualified and nonqualified retirement plans and any health, life, accident, disability insurance, vacation, paid time off, supplemental medical reimbursement insurance, or benefit plans or programs as we may choose to make available at any point in time. Under the Initial Employment Agreements, the executive officers were also entitled to annual fringe benefits and perquisites (including auto expense, security and reimbursement for the executive officer’s home office) and reimbursement for reasonable and necessary out-of-pocket business, entertainment, and travel expenses incurred in connection with the performance of their duties. In addition, the employment agreements contain provisions providing for severance payments, including both base salary payment throughout the remainder of the executive’s term of employment, and a payment equal to an additional 12 months of base salary, an amount equal to the executive annual bonus measured at target rate of performance, and continuation of benefits under certain circumstances including termination by us without Cause or for Good Reason (each as defined in the Initial Employment Agreements), upon execution of a general release of claims in our favor. The Initial Employment Agreements included restrictive covenants, including a two-year non-competition provision, a-two year no-solicitation and non-disparagement provision and a confidentiality provision.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Amended and Restated Schaffner Employment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26, 2023, we promoted Brian Schaffner from his position as our Chief Financial Officer to our Chief Executive Officer. In connection with his new role, we entered into an Amended and Restated Employment Agreement with Mr. Schaffner, effective January 26, 2023 (the “Schaffner Employment Agreement”), setting forth the terms and conditions of Mr. Schaffner’s employment as Chief Executive Officer.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Schaffner Employment Agreement provides for a one-year term ending on April 1, 2023, the first anniversary of our initial public offering, which term renews automatically unless terminated by the Company or Mr. Schaffner. Pursuant to the Schaffner Employment Agreement, the Company will pay Mr. Schaffner a base salary of $270,400 per year, increased from $120,000. Like Mr. Schaffner’s existing employment agreement, the Schaffner Agreement provides for an annual bonus award based on the achievement of performance objectives and targets established annually by the Company’s board of directors or compensation committee, and standard employee benefits. Upon a termination of Mr. Schaffner’s employment agreement by the Company without Cause or a resignation for Good Reason (each term as defined in the Schaffner Employment Agreement), Mr. Schaffner will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Schaffner Agreement provides for the same employee benefits as under Mr. Schaffner’s original employment agreement, except that he will also receive an automobile allowance of $1,000 per month. The restrictive covenants in the Initial Employment Agreement to which Mr. Schaffner is a party will continue to apply.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Amended and Restated Shoun Employment Agreement</w:t>
      </w: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On January 26, 2023, we promoted Paul Shoun from his position as our Chief Operating Officer to our Co-Founder, President and Chief Operating Officer. In connection with his new role, we entered into an Amended and Restated Employment Agreement with Mr. Shoun, effective January 26, 2023 (the “Shoun Agreement”), setting forth the terms and conditions of Mr. Shoun’s employment as our Co-Founder, President and Chief Operating Officer.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Shoun Employment Agreement provides for a three-year term ending on April 1, 2025, the third anniversary of our initial public offering, which term renews automatically unless terminated by the Company or Mr. Shoun. Pursuant to the Shoun Employment Agreement, the Company will pay Mr. Shoun a base salary of $270,400 per year, increased from $260,000. Like the Initial Employment Agreement to which Mr. Shoun is a party, the Shoun Employment Agreement provides for an annual bonus award based on the achievement of performance objectives and targets established annually by the Company’s board of directors or compensation committee, and standard employee benefits. Upon a termination of the Shoun Employment Agreement by the Company without Cause or a resignation for Good Reason (each term as defined in the Shoun Employment Agreement), Mr. Shoun will be paid (a) if terminated prior to April 1, 2025,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Shoun Employment Agreement provides for the same employee benefits as under the Initial Employment Agreement to which Mr. Shoun is a party, except that he will no longer be entitled to security benefits. The restrictive covenants in the Initial Employment Agreement to which Mr. Shoun is a party will continue to apply.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Amended and Restated Yozamp Employment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26, 2023, we and Mr. Yozamp agreed that, effective January 25, 2023, he ceased to be our Chief Executive Officer and Chairman of the Company’s board of directors and a member of our board of directors, and assumed the position of the our Co-Founder and Chief Business Development Officer. In connection with his new role, we entered into an Amended and Restated Employment Agreement with Mr. Yozamp, effective January 26, 2023 (the “Yozamp Employment Agreement”), setting forth the terms and conditions of Mr. Yozamp’s employment as our Co-Founder and Chief Business Development Officer.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Yozamp Employment Agreement provides for a term that ends on December 31, 2023, or if Mr. Yozamp achieves certain sales objectives, on December 31, 2024. The Yozamp Agreement provides for a reduction in Mr. Yozamp’s base salary from $330,000 to $283,200 per year, and the replacement of the annual bonus with commission payments based on the achievement of sales targets agreed to in the Yozamp Agreement rather than an annual bonus. Upon a termination of Mr. Yozamp’s employment agreement by the Company without Cause or a resignation for Good Reason (each term as defined in the Yozamp Employment Agreement), Mr. Yozamp will be paid an amount equal to the remaining unpaid amounts under the employment term and continued medical and dental benefits for up to one year, as well as any accrued but unpaid commissions. The Yozamp Employment Agreement provides for the same employee benefits as under Mr. Yozamp’s original employment agreement, except that he will no longer be entitled to security benefits. The restrictive covenants in the Initial Employment Agreement to which Mr. Yozamp is a party will continue to apply.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Director Compensation Table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Fees Earned or Paid in Cash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20"/>
                <w:szCs w:val="20"/>
                <w:color w:val="auto"/>
              </w:rPr>
            </w:pPr>
          </w:p>
        </w:tc>
        <w:tc>
          <w:tcPr>
            <w:tcW w:w="2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All Other Compensation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Hendrickson</w:t>
            </w:r>
          </w:p>
        </w:tc>
        <w:tc>
          <w:tcPr>
            <w:tcW w:w="6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$80,201</w:t>
            </w:r>
          </w:p>
        </w:tc>
        <w:tc>
          <w:tcPr>
            <w:tcW w:w="2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George Lefevre</w:t>
            </w:r>
          </w:p>
        </w:tc>
        <w:tc>
          <w:tcPr>
            <w:tcW w:w="2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$80,201</w:t>
            </w:r>
          </w:p>
        </w:tc>
        <w:tc>
          <w:tcPr>
            <w:tcW w:w="2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Shum</w:t>
            </w:r>
          </w:p>
        </w:tc>
        <w:tc>
          <w:tcPr>
            <w:tcW w:w="2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$106,934</w:t>
            </w:r>
          </w:p>
        </w:tc>
        <w:tc>
          <w:tcPr>
            <w:tcW w:w="2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5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awards and stock options granted during 2022 computed in accordance with ASC Topic 718, rather than the amounts paid to or realized by the named individual. We provide information regarding the assumptions used to calculate the value of all option awards made to our directors in Note 12 to our audited financial statements included this Annual Report on Form 10-K.</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Hendrickson held options to purchase 30,000 shares of our common stock, Mr. Lefevre held 30,000 options to purchase shares of our common stock and Mr. Shum held options to purchase 40,000 shares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next page)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In conjunction with our IPO, the Company adopted the 2021 Incentive Award Plan and our 2021 Employee Stock Purchase Plan (the “2021 ESPP”). The following table summarizes equity compensation plan information for the 2021 Incentive Award Plan and the 2021 ESPP, all stockholder approved, as a group, as of December 31, 2022.</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Equity Compensation Plans Approved by Stockholders Equity Compensation Plans not Approved by Stockholders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c>
          <w:tcPr>
            <w:tcW w:w="0" w:type="dxa"/>
            <w:vAlign w:val="bottom"/>
          </w:tcPr>
          <w:p>
            <w:pPr>
              <w:spacing w:after="0"/>
              <w:rPr>
                <w:sz w:val="1"/>
                <w:szCs w:val="1"/>
                <w:color w:val="auto"/>
              </w:rPr>
            </w:pPr>
          </w:p>
        </w:tc>
      </w:tr>
      <w:tr>
        <w:trPr>
          <w:trHeight w:val="225"/>
        </w:trPr>
        <w:tc>
          <w:tcPr>
            <w:tcW w:w="2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48"/>
        </w:trPr>
        <w:tc>
          <w:tcPr>
            <w:tcW w:w="2060" w:type="dxa"/>
            <w:vAlign w:val="bottom"/>
            <w:gridSpan w:val="2"/>
          </w:tcPr>
          <w:p>
            <w:pPr>
              <w:jc w:val="center"/>
              <w:ind w:right="560"/>
              <w:spacing w:after="0" w:line="247" w:lineRule="exact"/>
              <w:rPr>
                <w:sz w:val="20"/>
                <w:szCs w:val="20"/>
                <w:color w:val="auto"/>
              </w:rPr>
            </w:pPr>
            <w:r>
              <w:rPr>
                <w:rFonts w:ascii="Times New Roman" w:cs="Times New Roman" w:eastAsia="Times New Roman" w:hAnsi="Times New Roman"/>
                <w:sz w:val="17"/>
                <w:szCs w:val="17"/>
                <w:b w:val="1"/>
                <w:bCs w:val="1"/>
                <w:color w:val="auto"/>
              </w:rPr>
              <w:t>and Rights</w:t>
            </w:r>
            <w:r>
              <w:rPr>
                <w:rFonts w:ascii="Times New Roman" w:cs="Times New Roman" w:eastAsia="Times New Roman" w:hAnsi="Times New Roman"/>
                <w:sz w:val="28"/>
                <w:szCs w:val="28"/>
                <w:b w:val="1"/>
                <w:bCs w:val="1"/>
                <w:color w:val="auto"/>
                <w:vertAlign w:val="superscript"/>
              </w:rPr>
              <w:t>[1]</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380" w:type="dxa"/>
            <w:vAlign w:val="bottom"/>
            <w:gridSpan w:val="3"/>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9"/>
              </w:rPr>
              <w:t>Column (a)</w:t>
            </w:r>
            <w:r>
              <w:rPr>
                <w:rFonts w:ascii="Times New Roman" w:cs="Times New Roman" w:eastAsia="Times New Roman" w:hAnsi="Times New Roman"/>
                <w:sz w:val="28"/>
                <w:szCs w:val="28"/>
                <w:b w:val="1"/>
                <w:bCs w:val="1"/>
                <w:color w:val="auto"/>
                <w:w w:val="99"/>
                <w:vertAlign w:val="superscript"/>
              </w:rPr>
              <w:t>[2]</w:t>
            </w:r>
          </w:p>
        </w:tc>
        <w:tc>
          <w:tcPr>
            <w:tcW w:w="0" w:type="dxa"/>
            <w:vAlign w:val="bottom"/>
          </w:tcPr>
          <w:p>
            <w:pPr>
              <w:spacing w:after="0"/>
              <w:rPr>
                <w:sz w:val="1"/>
                <w:szCs w:val="1"/>
                <w:color w:val="auto"/>
              </w:rPr>
            </w:pPr>
          </w:p>
        </w:tc>
      </w:tr>
      <w:tr>
        <w:trPr>
          <w:trHeight w:val="216"/>
        </w:trPr>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60" w:type="dxa"/>
            <w:vAlign w:val="bottom"/>
          </w:tcPr>
          <w:p>
            <w:pPr>
              <w:spacing w:after="0"/>
              <w:rPr>
                <w:sz w:val="18"/>
                <w:szCs w:val="18"/>
                <w:color w:val="auto"/>
              </w:rPr>
            </w:pP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w:t>
            </w: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432"/>
        </w:trPr>
        <w:tc>
          <w:tcPr>
            <w:tcW w:w="2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829,500</w:t>
            </w:r>
          </w:p>
        </w:tc>
        <w:tc>
          <w:tcPr>
            <w:tcW w:w="20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3.43</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2,530,000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20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Borders>
              <w:bottom w:val="single" w:sz="8" w:color="auto"/>
            </w:tcBorders>
          </w:tcPr>
          <w:p>
            <w:pPr>
              <w:ind w:left="780"/>
              <w:spacing w:after="0" w:line="196" w:lineRule="exact"/>
              <w:rPr>
                <w:sz w:val="20"/>
                <w:szCs w:val="20"/>
                <w:color w:val="auto"/>
              </w:rPr>
            </w:pPr>
            <w:r>
              <w:rPr>
                <w:rFonts w:ascii="Times New Roman" w:cs="Times New Roman" w:eastAsia="Times New Roman" w:hAnsi="Times New Roman"/>
                <w:sz w:val="18"/>
                <w:szCs w:val="18"/>
                <w:color w:val="auto"/>
                <w:w w:val="95"/>
              </w:rPr>
              <w:t>829,500</w:t>
            </w:r>
          </w:p>
        </w:tc>
        <w:tc>
          <w:tcPr>
            <w:tcW w:w="700" w:type="dxa"/>
            <w:vAlign w:val="bottom"/>
            <w:vMerge w:val="continue"/>
          </w:tcPr>
          <w:p>
            <w:pPr>
              <w:spacing w:after="0"/>
              <w:rPr>
                <w:sz w:val="17"/>
                <w:szCs w:val="17"/>
                <w:color w:val="auto"/>
              </w:rPr>
            </w:pPr>
          </w:p>
        </w:tc>
        <w:tc>
          <w:tcPr>
            <w:tcW w:w="1340" w:type="dxa"/>
            <w:vAlign w:val="bottom"/>
            <w:tcBorders>
              <w:bottom w:val="single" w:sz="8" w:color="auto"/>
            </w:tcBorders>
          </w:tcPr>
          <w:p>
            <w:pPr>
              <w:ind w:left="1020"/>
              <w:spacing w:after="0" w:line="196" w:lineRule="exact"/>
              <w:rPr>
                <w:sz w:val="20"/>
                <w:szCs w:val="20"/>
                <w:color w:val="auto"/>
              </w:rPr>
            </w:pPr>
            <w:r>
              <w:rPr>
                <w:rFonts w:ascii="Times New Roman" w:cs="Times New Roman" w:eastAsia="Times New Roman" w:hAnsi="Times New Roman"/>
                <w:sz w:val="18"/>
                <w:szCs w:val="18"/>
                <w:color w:val="auto"/>
                <w:w w:val="95"/>
              </w:rPr>
              <w:t>3.43</w:t>
            </w:r>
          </w:p>
        </w:tc>
        <w:tc>
          <w:tcPr>
            <w:tcW w:w="660" w:type="dxa"/>
            <w:vAlign w:val="bottom"/>
            <w:vMerge w:val="continue"/>
          </w:tcPr>
          <w:p>
            <w:pPr>
              <w:spacing w:after="0"/>
              <w:rPr>
                <w:sz w:val="17"/>
                <w:szCs w:val="17"/>
                <w:color w:val="auto"/>
              </w:rPr>
            </w:pPr>
          </w:p>
        </w:tc>
        <w:tc>
          <w:tcPr>
            <w:tcW w:w="1340" w:type="dxa"/>
            <w:vAlign w:val="bottom"/>
            <w:tcBorders>
              <w:bottom w:val="single" w:sz="8" w:color="auto"/>
            </w:tcBorders>
          </w:tcPr>
          <w:p>
            <w:pPr>
              <w:ind w:left="620"/>
              <w:spacing w:after="0" w:line="196" w:lineRule="exact"/>
              <w:rPr>
                <w:sz w:val="20"/>
                <w:szCs w:val="20"/>
                <w:color w:val="auto"/>
              </w:rPr>
            </w:pPr>
            <w:r>
              <w:rPr>
                <w:rFonts w:ascii="Times New Roman" w:cs="Times New Roman" w:eastAsia="Times New Roman" w:hAnsi="Times New Roman"/>
                <w:sz w:val="18"/>
                <w:szCs w:val="18"/>
                <w:color w:val="auto"/>
                <w:w w:val="97"/>
              </w:rPr>
              <w:t>2,530,000</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-479425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-179070</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5020" w:space="720"/>
            <w:col w:w="5500"/>
          </w:cols>
          <w:pgMar w:left="320" w:top="792" w:right="339" w:bottom="1440" w:gutter="0" w:footer="0" w:header="0"/>
          <w:type w:val="continuous"/>
        </w:sectPr>
      </w:pPr>
    </w:p>
    <w:p>
      <w:pPr>
        <w:ind w:left="220" w:hanging="212"/>
        <w:spacing w:after="0"/>
        <w:tabs>
          <w:tab w:leader="none" w:pos="2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shares of common stock issuable upon the exercise of outstanding stock options under the 2021 Incentive Award Plan</w:t>
      </w:r>
    </w:p>
    <w:p>
      <w:pPr>
        <w:ind w:right="80" w:firstLine="8"/>
        <w:spacing w:after="0" w:line="255" w:lineRule="auto"/>
        <w:tabs>
          <w:tab w:leader="none" w:pos="2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there were 30,000 shares of common stock available for future issuance under the 2021 Incentive Award Plan and 2,500,000 shares available for grants under the 2021 ESPP (of which 0 shares were subject to outstanding purchase rights during the current purchase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certain information with respect to the beneficial ownership of our common stock as of March 27, 2023 as to (1) each person (or group of affiliated persons) who is known by us to own beneficially more than 5% of our common stock; (2) each of our directors; (3) each of our executive officers; and (4) all directors and executive officers of the Company as a group.</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all persons named in the table have sole voting and investment power with respect to all shares beneficially owned by them, except as noted. Unless otherwise indicated, the address of each stockholder listed in the table is c/o Expion360, 2025 SW Deerhound Avenue, Redmond, OR 97756.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voting or investment power with respect to securities. All shares of common stock subject to options or warrants exercisable within 60 days of March 27, 2023,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3" w:name="page54"/>
    <w:bookmarkEnd w:id="53"/>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paragraph above, percentage ownership of outstanding shares is based on 6,848,566 shares of common stock outstanding as of March 27, 2023.</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3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96"/>
              </w:rPr>
              <w:t>% of Class</w:t>
            </w: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780" w:type="dxa"/>
            <w:vAlign w:val="bottom"/>
          </w:tcPr>
          <w:p>
            <w:pPr>
              <w:spacing w:after="0"/>
              <w:rPr>
                <w:sz w:val="20"/>
                <w:szCs w:val="20"/>
                <w:color w:val="auto"/>
              </w:rPr>
            </w:pP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3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AOS Holdings, LLC (1)</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437,935</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6.4</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James Yozamp, Jr</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552,673</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8.1</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Joel R. Yozamp (2)</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406,604</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5.9</w:t>
            </w:r>
          </w:p>
        </w:tc>
      </w:tr>
      <w:tr>
        <w:trPr>
          <w:trHeight w:val="63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r>
              <w:rPr>
                <w:rFonts w:ascii="Times New Roman" w:cs="Times New Roman" w:eastAsia="Times New Roman" w:hAnsi="Times New Roman"/>
                <w:sz w:val="18"/>
                <w:szCs w:val="18"/>
                <w:color w:val="auto"/>
              </w:rPr>
              <w:t>:</w:t>
            </w:r>
          </w:p>
        </w:tc>
        <w:tc>
          <w:tcPr>
            <w:tcW w:w="3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Brian Schaffner (Chief Executive Officer) (3)</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150,000</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John Yozamp (Co-Founder and Chief Business Development</w:t>
            </w:r>
          </w:p>
        </w:tc>
        <w:tc>
          <w:tcPr>
            <w:tcW w:w="3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1,725,787</w:t>
            </w:r>
          </w:p>
        </w:tc>
        <w:tc>
          <w:tcPr>
            <w:tcW w:w="17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Officer) (4)</w:t>
            </w:r>
          </w:p>
        </w:tc>
        <w:tc>
          <w:tcPr>
            <w:tcW w:w="3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0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Paul Shoun (Co-Founder and President and Chief Operating</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337,471</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4.8</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 (5)</w:t>
            </w:r>
          </w:p>
        </w:tc>
        <w:tc>
          <w:tcPr>
            <w:tcW w:w="3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Greg Aydelott (Chief Financial Officer) (6)</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52,783</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David Hendrickson (Chairman and Independent Director) (7)</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30,000</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George Lefevre (Independent Director) (8)</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30,000</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Steven Shum (Independent Director) (9)</w:t>
            </w:r>
          </w:p>
        </w:tc>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40,000</w:t>
            </w:r>
          </w:p>
        </w:tc>
        <w:tc>
          <w:tcPr>
            <w:tcW w:w="17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(seven persons)</w:t>
            </w:r>
          </w:p>
        </w:tc>
        <w:tc>
          <w:tcPr>
            <w:tcW w:w="3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2,366,041</w:t>
            </w:r>
          </w:p>
        </w:tc>
        <w:tc>
          <w:tcPr>
            <w:tcW w:w="17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31.4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25"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third-party report dated as of February 15, 2023.</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Joel Yozamp consists of (i) 331,604 shares of common stock owned directly by Mr. Joel Yozamp and (ii) 75,000 shares of common stock issuable upon exercise of the vested options owned by Mr. Joel Yozamp.</w:t>
      </w:r>
    </w:p>
    <w:p>
      <w:pPr>
        <w:ind w:left="660" w:hanging="328"/>
        <w:spacing w:after="0" w:line="25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Schaffner consists of 150,000 shares of common stock issuable upon exercise of the vested options owned by Mr. Schaffner.</w:t>
      </w:r>
    </w:p>
    <w:p>
      <w:pPr>
        <w:jc w:val="both"/>
        <w:ind w:left="660" w:hanging="328"/>
        <w:spacing w:after="0" w:line="25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John Yozamp consists of (i) 1,546,287 shares of common stock owned directly by Mr. John Yozamp and (ii) 179,500 shares of common stock issuable upon exercise of the vested options owned by Mr. John Yozamp.</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Shoun consists of (i) 137,471 shares of common stock owned directly by Mr. Shoun and (ii) 200,000 shares of common stock issuable upon exercise of the vested options owned by Mr. Shoun.</w:t>
      </w:r>
    </w:p>
    <w:p>
      <w:pPr>
        <w:ind w:left="660" w:hanging="328"/>
        <w:spacing w:after="0" w:line="260"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Aydelott consists of (i) 2,783 shares of common stock owned directly by Mr. Aydelott and (ii) 50,000 shares of common stock issuable upon exercise of the vested options owned by Mr. Aydelott.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Hendrickson consists of 30,000 shares of common stock issuable upon exercise of the vested options owned by Mr. Hendrickson.</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Lefevre consists of 30,000 shares of common stock issuable upon exercise of the vested options owned by Mr. Lefevre.</w:t>
      </w:r>
    </w:p>
    <w:p>
      <w:pPr>
        <w:ind w:left="66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as beneficially owned by Mr. Shum consists of 40,000 shares of common stock issuable upon exercise of the vested options owned by Mr. Shum.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 related party transaction policy effective January 1, 2022 (the “Related Party Transaction Policy”), setting forth the policies and procedures for the review and approval or ratification of related-person transactions. This Related Party Transaction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 2018, the Company issued an unsecured promissory note owed to H. Porter Burns, a holder of approximately 0.6% of our outstanding capital stock as of March 27, 2023, and former business partner to John Yozamp, our Co-Founder and Chief Business Development Officer, (the “8/1/18 Porter Burns Note”) in the principal amount of $500,000. The 8/1/18 Porter Burns Note requires monthly interest-only payment at 10% per annum. The 8/1/18 Porter Burns Note matures on August 1, 2023. As of December 31, 2022, the Company had an outstanding principal balance of $500,000 under the 8/1/18 Porter Burns Note.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 2019, the Company issued an unsecured promissory note owed to H. Porter Burns, a holder of approximately 0.6% of our outstanding capital stock as of March 27, 2023, and former business partner to John Yozamp, our Co-Founder and Chief Business Development Officer, (the “1/1/19 Porter Burns Note”) in the principal amount of $62,500. The 1/1/19 Porter Burns Note requires monthly interest-only payment at 10% per annum. The 1/1/19 Porter Burns Note matures on January 1, 2024. As of December 31, 2022, the Company had an outstanding principal balance of $62,500 under the 8/1/18 Porter Burns Note.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 2019, the Company issued an unsecured promissory note owed to James Yozamp, Jr., a beneficial owner of 8.1% of our outstanding capital stock as of March 27, 2023, and brother to John Yozamp, our Co-Founder and Chief Business Development Officer, (the “1/1/19 James Yozamp Note”) in the principal amount of $62,500. The 1/1/19 James Yozamp Note requires monthly interest only payments at 10% per annum. The 1/1/19 James Yozamp Note matures on January 29, 2024. As of December 31, 2022, the Company had an outstanding principal balance of $62,500 under the 1/1/19 James Yozamp Note.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31, 2019, the Company issued an unsecured promissory note owed to James Yozamp, Jr., a holder of approximately 8.1% of our outstanding capital stock as of March 27, 2023, and brother to John Yozamp, our Co-Founder and Chief Business Development Officer, (the “12/31/19 James Yozamp Note”) in the principal amount of $200,000. The 12/31/19 James Yozamp Note requires monthly interest only payments at 10% per annum. The 12/31/19 James Yozamp Note matures on January 29, 2024. As of December 31, 2022, the Company had an outstanding principal balance of $200,000 under the 12/31/19 James Yozamp Note.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 2019, the Company issued an unsecured promissory note to John Yozamp, our Co-Founder and Chief Business Development Officer (the “John Yozamp Note”) in the amount of $250,000. The John Yozamp Note required monthly interest only payments at 10% per annum. The John Yozamp Note was converted into a convertible debenture in May 2021 which was subsequently converted into 236,498 shares of our common stock on October 29, 2021.</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21, 2021, in exchange for his $20,000 investment, the Company issued a convertible debenture in principal amount of $20,000 to Paul Shoun, our Co-Founder and President and Chief Operating Officer and Director (the “COO Debenture”), which was converted into 17,325 shares of our common stock on October 29,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majority of our directors satisfy the criteria for “independent directors,” under the Nasdaq rules. The Corporate Governance Committee is required to annually review each director’s independence and any material relationships such director has with the Company. Following such review, only those directors who the board of directors affirmatively determines have no material relationship to the Company, and otherwise satisfy the independence requirements of the Nasdaq rules, will be considered “independent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Nasdaq rules, a majority of a listed company’s board of directors must be comprised of independent directors. In addition, the Nasdaq rules require that, subject to specified exceptions, each member of a listed company’s audit, compensation and nominations committees be independent and that audit committee members also satisfy independence criteria set forth in Rule 10A-3 under the Exchange Act and that compensation committee members satisfy independence criteria set forth in Rule 10C-1 under the Exchange Act and related Nasdaq rules.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10C-1 under the Exchange Act and the Nasdaq rules, in affirmatively determining the independence of any director who will serve on a company’s compensation committee, the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of such director (including any consulting, advisory or other compensatory fee paid by such company to the director), and whether the director is affiliated with the company or any of its subsidiaries or affiliates.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affirmatively determined that Messrs. Lefevre, Shum and Hendrickson are independent directors under applicable Nasdaq and Exchange Act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M&amp;K CPAS PLLC, Houston, Texas, PCAOB ID#2738.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category of service, the fees incurred in engagements performed by M&amp;K CPAS PLLC, our independent registered public accounting firm, for professional services rendered to the Company for the fiscal years ended December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72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8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98,943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consisted of fees expected to be incurred as of the date of this Annual Report on Form 10-K for tax compliance, tax advice, and tax planning in respect of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statements are listed in the “Index to the Financial Statements”, which appears on page F-1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6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01"/>
        </w:trPr>
        <w:tc>
          <w:tcPr>
            <w:tcW w:w="85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979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300" w:type="dxa"/>
            <w:vAlign w:val="bottom"/>
            <w:gridSpan w:val="1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Articles of Incorporation of the Company, effective as of November 4, 2021</w:t>
              </w:r>
            </w:hyperlink>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1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Bylaws of the Company currently in effect</w:t>
              </w:r>
            </w:hyperlink>
          </w:p>
        </w:tc>
        <w:tc>
          <w:tcPr>
            <w:tcW w:w="2380" w:type="dxa"/>
            <w:vAlign w:val="bottom"/>
            <w:tcBorders>
              <w:top w:val="single" w:sz="8" w:color="0000EE"/>
            </w:tcBorders>
            <w:gridSpan w:val="7"/>
          </w:tcPr>
          <w:p>
            <w:pPr>
              <w:spacing w:after="0"/>
              <w:rPr>
                <w:sz w:val="19"/>
                <w:szCs w:val="19"/>
                <w:color w:val="auto"/>
              </w:rPr>
            </w:pPr>
          </w:p>
        </w:tc>
        <w:tc>
          <w:tcPr>
            <w:tcW w:w="1820" w:type="dxa"/>
            <w:vAlign w:val="bottom"/>
            <w:gridSpan w:val="3"/>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300" w:type="dxa"/>
            <w:vAlign w:val="bottom"/>
            <w:gridSpan w:val="1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the Company’s common stock certificate</w:t>
              </w:r>
            </w:hyperlink>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80" w:type="dxa"/>
            <w:vAlign w:val="bottom"/>
            <w:tcBorders>
              <w:top w:val="single" w:sz="8" w:color="0000EE"/>
            </w:tcBorders>
            <w:gridSpan w:val="6"/>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Underwriters Warrant</w:t>
              </w:r>
            </w:hyperlink>
          </w:p>
        </w:tc>
        <w:tc>
          <w:tcPr>
            <w:tcW w:w="3720" w:type="dxa"/>
            <w:vAlign w:val="bottom"/>
            <w:gridSpan w:val="9"/>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Senior Secured Note issued to bridge loan investors</w:t>
              </w:r>
            </w:hyperlink>
          </w:p>
        </w:tc>
        <w:tc>
          <w:tcPr>
            <w:tcW w:w="2940" w:type="dxa"/>
            <w:vAlign w:val="bottom"/>
            <w:gridSpan w:val="6"/>
          </w:tcPr>
          <w:p>
            <w:pPr>
              <w:spacing w:after="0"/>
              <w:rPr>
                <w:sz w:val="19"/>
                <w:szCs w:val="19"/>
                <w:color w:val="auto"/>
              </w:rPr>
            </w:pP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Description of Securities Registered Under Section 12 of the Securities Exchange Act of 1934</w:t>
            </w:r>
          </w:p>
        </w:tc>
      </w:tr>
      <w:tr>
        <w:trPr>
          <w:trHeight w:val="202"/>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7300" w:type="dxa"/>
            <w:vAlign w:val="bottom"/>
            <w:gridSpan w:val="15"/>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common stock warrant issued to Selling Stockholders</w:t>
              </w:r>
            </w:hyperlink>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Expion360 Inc 2021 Incentive Award Plan</w:t>
              </w:r>
            </w:hyperlink>
          </w:p>
        </w:tc>
        <w:tc>
          <w:tcPr>
            <w:tcW w:w="1420" w:type="dxa"/>
            <w:vAlign w:val="bottom"/>
            <w:tcBorders>
              <w:top w:val="single" w:sz="8" w:color="0000EE"/>
            </w:tcBorders>
            <w:gridSpan w:val="6"/>
          </w:tcPr>
          <w:p>
            <w:pPr>
              <w:spacing w:after="0"/>
              <w:rPr>
                <w:sz w:val="19"/>
                <w:szCs w:val="19"/>
                <w:color w:val="auto"/>
              </w:rPr>
            </w:pPr>
          </w:p>
        </w:tc>
        <w:tc>
          <w:tcPr>
            <w:tcW w:w="2800" w:type="dxa"/>
            <w:vAlign w:val="bottom"/>
            <w:gridSpan w:val="5"/>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300" w:type="dxa"/>
            <w:vAlign w:val="bottom"/>
            <w:gridSpan w:val="1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Expion360 Inc 2021 Employee Stock Purchase Plan</w:t>
              </w:r>
            </w:hyperlink>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2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Security Agreement issued to bridge loan investors</w:t>
              </w:r>
            </w:hyperlink>
          </w:p>
        </w:tc>
        <w:tc>
          <w:tcPr>
            <w:tcW w:w="2980" w:type="dxa"/>
            <w:vAlign w:val="bottom"/>
            <w:gridSpan w:val="7"/>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66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Commercial Lease of premises at 2045 SW Deerhound Avenue Redmond, OR</w:t>
              </w:r>
            </w:hyperlink>
          </w:p>
        </w:tc>
        <w:tc>
          <w:tcPr>
            <w:tcW w:w="1640" w:type="dxa"/>
            <w:vAlign w:val="bottom"/>
            <w:gridSpan w:val="2"/>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300" w:type="dxa"/>
            <w:vAlign w:val="bottom"/>
            <w:gridSpan w:val="1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Commercial Lease of premises at 1266 SW Lake Blvd, Redmond, OR</w:t>
              </w:r>
            </w:hyperlink>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0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Underwriting Agreement dated March 31, 2022, between the Company and Alexander Capital, LP as</w:t>
              </w:r>
            </w:hyperlink>
          </w:p>
        </w:tc>
      </w:tr>
      <w:tr>
        <w:trPr>
          <w:trHeight w:val="196"/>
        </w:trPr>
        <w:tc>
          <w:tcPr>
            <w:tcW w:w="920" w:type="dxa"/>
            <w:vAlign w:val="bottom"/>
          </w:tcPr>
          <w:p>
            <w:pPr>
              <w:spacing w:after="0"/>
              <w:rPr>
                <w:sz w:val="17"/>
                <w:szCs w:val="17"/>
                <w:color w:val="auto"/>
              </w:rPr>
            </w:pPr>
          </w:p>
        </w:tc>
        <w:tc>
          <w:tcPr>
            <w:tcW w:w="7300" w:type="dxa"/>
            <w:vAlign w:val="bottom"/>
            <w:gridSpan w:val="15"/>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Representative of the Underwriters</w:t>
              </w:r>
            </w:hyperlink>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10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Amended and Restated Employment Agreement between John Yozamp and Expion360 Inc., dated</w:t>
              </w:r>
            </w:hyperlink>
          </w:p>
        </w:tc>
        <w:tc>
          <w:tcPr>
            <w:tcW w:w="20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7300" w:type="dxa"/>
            <w:vAlign w:val="bottom"/>
            <w:gridSpan w:val="15"/>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January 26, 2023</w:t>
              </w:r>
            </w:hyperlink>
          </w:p>
        </w:tc>
      </w:tr>
      <w:tr>
        <w:trPr>
          <w:trHeight w:val="453"/>
        </w:trPr>
        <w:tc>
          <w:tcPr>
            <w:tcW w:w="9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820" w:type="dxa"/>
            <w:vAlign w:val="bottom"/>
            <w:gridSpan w:val="10"/>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243"/>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3/31/2022</w:t>
            </w:r>
          </w:p>
        </w:tc>
      </w:tr>
      <w:tr>
        <w:trPr>
          <w:trHeight w:val="459"/>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4/05/2022</w:t>
            </w:r>
          </w:p>
        </w:tc>
      </w:tr>
      <w:tr>
        <w:trPr>
          <w:trHeight w:val="459"/>
        </w:trPr>
        <w:tc>
          <w:tcPr>
            <w:tcW w:w="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2/01/2023</w:t>
            </w:r>
          </w:p>
        </w:tc>
      </w:tr>
    </w:tbl>
    <w:p>
      <w:pPr>
        <w:sectPr>
          <w:pgSz w:w="11900" w:h="16838" w:orient="portrait"/>
          <w:cols w:equalWidth="0" w:num="2">
            <w:col w:w="8220" w:space="600"/>
            <w:col w:w="2420"/>
          </w:cols>
          <w:pgMar w:left="320" w:top="792" w:right="339" w:bottom="1440"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Employment Agreement between Brian Schaffner and Expion360 Inc., dated</w:t>
              </w:r>
            </w:hyperlink>
          </w:p>
        </w:tc>
        <w:tc>
          <w:tcPr>
            <w:tcW w:w="34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January 26, 2023</w:t>
              </w:r>
            </w:hyperlink>
          </w:p>
        </w:tc>
        <w:tc>
          <w:tcPr>
            <w:tcW w:w="6360" w:type="dxa"/>
            <w:vAlign w:val="bottom"/>
            <w:gridSpan w:val="14"/>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2/01/2023</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Amended and Restated Employment Agreement between Paul Shoun and Expion360 Inc., dated</w:t>
              </w:r>
            </w:hyperlink>
          </w:p>
        </w:tc>
        <w:tc>
          <w:tcPr>
            <w:tcW w:w="660" w:type="dxa"/>
            <w:vAlign w:val="bottom"/>
            <w:gridSpan w:val="5"/>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January 26, 2023</w:t>
              </w:r>
            </w:hyperlink>
          </w:p>
        </w:tc>
        <w:tc>
          <w:tcPr>
            <w:tcW w:w="6360" w:type="dxa"/>
            <w:vAlign w:val="bottom"/>
            <w:gridSpan w:val="14"/>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2/01/2023</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600" w:type="dxa"/>
            <w:vAlign w:val="bottom"/>
            <w:gridSpan w:val="1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Employment Agreement between Greg Aydelott and Expion360 Inc., dated</w:t>
              </w:r>
            </w:hyperlink>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7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January 26, 2023</w:t>
              </w:r>
            </w:hyperlink>
          </w:p>
        </w:tc>
        <w:tc>
          <w:tcPr>
            <w:tcW w:w="480" w:type="dxa"/>
            <w:vAlign w:val="bottom"/>
            <w:gridSpan w:val="4"/>
          </w:tcPr>
          <w:p>
            <w:pPr>
              <w:spacing w:after="0"/>
              <w:rPr>
                <w:sz w:val="17"/>
                <w:szCs w:val="17"/>
                <w:color w:val="auto"/>
              </w:rPr>
            </w:pPr>
          </w:p>
        </w:tc>
        <w:tc>
          <w:tcPr>
            <w:tcW w:w="76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rPr>
              <w:t>2/01/2023</w:t>
            </w: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 xml:space="preserve">Form of Warrant with an Exercise Price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2.90</w:t>
            </w:r>
          </w:p>
        </w:tc>
        <w:tc>
          <w:tcPr>
            <w:tcW w:w="4080" w:type="dxa"/>
            <w:vAlign w:val="bottom"/>
            <w:gridSpan w:val="9"/>
          </w:tcPr>
          <w:p>
            <w:pPr>
              <w:spacing w:after="0"/>
              <w:rPr>
                <w:sz w:val="21"/>
                <w:szCs w:val="21"/>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 xml:space="preserve">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3.32</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Subsidiaries of the Company</w:t>
              </w:r>
            </w:hyperlink>
          </w:p>
        </w:tc>
        <w:tc>
          <w:tcPr>
            <w:tcW w:w="1420" w:type="dxa"/>
            <w:vAlign w:val="bottom"/>
            <w:tcBorders>
              <w:top w:val="single" w:sz="8" w:color="0000EE"/>
            </w:tcBorders>
            <w:gridSpan w:val="3"/>
          </w:tcPr>
          <w:p>
            <w:pPr>
              <w:spacing w:after="0"/>
              <w:rPr>
                <w:sz w:val="21"/>
                <w:szCs w:val="21"/>
                <w:color w:val="auto"/>
              </w:rPr>
            </w:pPr>
          </w:p>
        </w:tc>
        <w:tc>
          <w:tcPr>
            <w:tcW w:w="4100" w:type="dxa"/>
            <w:vAlign w:val="bottom"/>
            <w:gridSpan w:val="10"/>
          </w:tcPr>
          <w:p>
            <w:pPr>
              <w:spacing w:after="0"/>
              <w:rPr>
                <w:sz w:val="21"/>
                <w:szCs w:val="21"/>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3/31/2022</w:t>
            </w: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Consent of M&amp;K CPAS PLLC</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Power of Attorney (reference is made to the signature page hereto).</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and 15d-14(a) under the</w:t>
            </w:r>
          </w:p>
        </w:tc>
        <w:tc>
          <w:tcPr>
            <w:tcW w:w="720" w:type="dxa"/>
            <w:vAlign w:val="bottom"/>
            <w:gridSpan w:val="6"/>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as adopted pursuant to Section 302 of the Sarbanes-Oxley Act of 2002.</w:t>
            </w:r>
          </w:p>
        </w:tc>
        <w:tc>
          <w:tcPr>
            <w:tcW w:w="1380" w:type="dxa"/>
            <w:vAlign w:val="bottom"/>
            <w:gridSpan w:val="8"/>
          </w:tcPr>
          <w:p>
            <w:pPr>
              <w:spacing w:after="0"/>
              <w:rPr>
                <w:sz w:val="17"/>
                <w:szCs w:val="17"/>
                <w:color w:val="auto"/>
              </w:rPr>
            </w:pPr>
          </w:p>
        </w:tc>
        <w:tc>
          <w:tcPr>
            <w:tcW w:w="7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 15d-14(a) under the</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as adopted pursuant to Section 302 of the Sarbanes-Oxley Act of 2002.</w:t>
            </w:r>
          </w:p>
        </w:tc>
        <w:tc>
          <w:tcPr>
            <w:tcW w:w="600" w:type="dxa"/>
            <w:vAlign w:val="bottom"/>
            <w:tcBorders>
              <w:top w:val="single" w:sz="8" w:color="0000EE"/>
            </w:tcBorders>
          </w:tcPr>
          <w:p>
            <w:pPr>
              <w:spacing w:after="0"/>
              <w:rPr>
                <w:sz w:val="17"/>
                <w:szCs w:val="17"/>
                <w:color w:val="auto"/>
              </w:rPr>
            </w:pPr>
          </w:p>
        </w:tc>
        <w:tc>
          <w:tcPr>
            <w:tcW w:w="780" w:type="dxa"/>
            <w:vAlign w:val="bottom"/>
            <w:gridSpan w:val="7"/>
          </w:tcPr>
          <w:p>
            <w:pPr>
              <w:spacing w:after="0"/>
              <w:rPr>
                <w:sz w:val="17"/>
                <w:szCs w:val="17"/>
                <w:color w:val="auto"/>
              </w:rPr>
            </w:pPr>
          </w:p>
        </w:tc>
        <w:tc>
          <w:tcPr>
            <w:tcW w:w="7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120" w:type="dxa"/>
            <w:vAlign w:val="bottom"/>
            <w:gridSpan w:val="11"/>
          </w:tcPr>
          <w:p>
            <w:pPr>
              <w:spacing w:after="0"/>
              <w:rPr>
                <w:sz w:val="17"/>
                <w:szCs w:val="17"/>
                <w:color w:val="auto"/>
              </w:rPr>
            </w:pPr>
          </w:p>
        </w:tc>
        <w:tc>
          <w:tcPr>
            <w:tcW w:w="7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90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7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25" w:lineRule="exact"/>
        <w:rPr>
          <w:sz w:val="20"/>
          <w:szCs w:val="20"/>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Expion360 Inc.</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Brian Schaffner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Brian Schaffner</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Brian Schaffner and Greg Aydelott,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Schaffner</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Schaffner</w:t>
            </w:r>
          </w:p>
        </w:tc>
        <w:tc>
          <w:tcPr>
            <w:tcW w:w="240" w:type="dxa"/>
            <w:vAlign w:val="bottom"/>
          </w:tcPr>
          <w:p>
            <w:pPr>
              <w:spacing w:after="0"/>
              <w:rPr>
                <w:sz w:val="19"/>
                <w:szCs w:val="19"/>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36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 Aydelott</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 Aydelott</w:t>
            </w:r>
          </w:p>
        </w:tc>
        <w:tc>
          <w:tcPr>
            <w:tcW w:w="240" w:type="dxa"/>
            <w:vAlign w:val="bottom"/>
          </w:tcPr>
          <w:p>
            <w:pPr>
              <w:spacing w:after="0"/>
              <w:rPr>
                <w:sz w:val="19"/>
                <w:szCs w:val="19"/>
                <w:color w:val="auto"/>
              </w:rPr>
            </w:pPr>
          </w:p>
        </w:tc>
        <w:tc>
          <w:tcPr>
            <w:tcW w:w="4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336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Lefevre</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Lefevre</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M Shum</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Shum</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Hendrickson</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Hendrickson</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Shoun</w:t>
            </w:r>
          </w:p>
        </w:tc>
        <w:tc>
          <w:tcPr>
            <w:tcW w:w="2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Shoun</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758"/>
        </w:trPr>
        <w:tc>
          <w:tcPr>
            <w:tcW w:w="3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5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434"/>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 2738)</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F-1</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Sheets</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F-3</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Operations</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F-4</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Stockholders’ Equity (Deficit)</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F-5</w:t>
            </w:r>
          </w:p>
        </w:tc>
      </w:tr>
      <w:tr>
        <w:trPr>
          <w:trHeight w:val="216"/>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F-6</w:t>
            </w:r>
          </w:p>
        </w:tc>
      </w:tr>
      <w:tr>
        <w:trPr>
          <w:trHeight w:val="234"/>
        </w:trPr>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26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3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783" w:right="7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Expion360,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Expion360, Inc. (the Company) as of December 31, 2022 and 2021, and the related statements of operations, stockholders’ equity (deficit), and cash flows for each of the years in the two-year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suffered a net loss from operations and used cash in operations, which raises substantial doubt about its ability to continue as a going concern. Management's plans regarding those matters are also described in Note 2. The financial statements do not include any adjustments that might result from the outcome of this uncertainty.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13 to the financial statements, the company issues options and warrants. The proper valuation of options and warrants requires significant management judgement in determining the volatility and method used to calculate the option and warrant values.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evaluate the appropriateness of the model and estimates determined by management, we examined and evaluated the model, and the time period and stock prices used in determining the valuation of the options and warrants issued.</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M&amp;K CPAS, PLLC</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Houston, TX</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ind w:left="5040"/>
        <w:spacing w:after="0"/>
        <w:rPr>
          <w:sz w:val="20"/>
          <w:szCs w:val="20"/>
          <w:color w:val="auto"/>
        </w:rPr>
      </w:pPr>
      <w:r>
        <w:rPr>
          <w:rFonts w:ascii="Times New Roman" w:cs="Times New Roman" w:eastAsia="Times New Roman" w:hAnsi="Times New Roman"/>
          <w:sz w:val="17"/>
          <w:szCs w:val="17"/>
          <w:b w:val="1"/>
          <w:bCs w:val="1"/>
          <w:color w:val="auto"/>
        </w:rPr>
        <w:t>Expion360 Inc.</w:t>
      </w:r>
    </w:p>
    <w:p>
      <w:pPr>
        <w:spacing w:after="0" w:line="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Balance Sheets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-118110</wp:posOffset>
            </wp:positionV>
            <wp:extent cx="1011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986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p>
      <w:pPr>
        <w:sectPr>
          <w:pgSz w:w="11900" w:h="16838" w:orient="portrait"/>
          <w:cols w:equalWidth="0" w:num="2">
            <w:col w:w="9000" w:space="720"/>
            <w:col w:w="152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7,201,244</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773,238</w:t>
            </w:r>
          </w:p>
        </w:tc>
      </w:tr>
      <w:tr>
        <w:trPr>
          <w:trHeight w:val="21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298,035</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775,160</w:t>
            </w:r>
          </w:p>
        </w:tc>
      </w:tr>
      <w:tr>
        <w:trPr>
          <w:trHeight w:val="216"/>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4,530,136</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2,051,880</w:t>
            </w:r>
          </w:p>
        </w:tc>
      </w:tr>
      <w:tr>
        <w:trPr>
          <w:trHeight w:val="216"/>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Prepaid/in-transit inventory</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141,611</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1,081,225</w:t>
            </w:r>
          </w:p>
        </w:tc>
      </w:tr>
      <w:tr>
        <w:trPr>
          <w:trHeight w:val="229"/>
        </w:trPr>
        <w:tc>
          <w:tcPr>
            <w:tcW w:w="5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171,791</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71,703</w:t>
            </w:r>
          </w:p>
        </w:tc>
      </w:tr>
      <w:tr>
        <w:trPr>
          <w:trHeight w:val="20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9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12,342,817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4,753,206</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1,394,619</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523,419</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(250,861)</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(96,190)</w:t>
            </w:r>
          </w:p>
        </w:tc>
      </w:tr>
      <w:tr>
        <w:trPr>
          <w:trHeight w:val="20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427,229</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Operating leases – right-of-use asset</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3,148,455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1,281,371</w:t>
            </w: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63,901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63,901</w:t>
            </w: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3,212,356</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1,345,272</w:t>
            </w:r>
          </w:p>
        </w:tc>
      </w:tr>
      <w:tr>
        <w:trPr>
          <w:trHeight w:val="223"/>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16,698,931</w:t>
            </w: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6,525,707</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-607695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-325120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80" w:space="720"/>
            <w:col w:w="404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230,250</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63,180</w:t>
            </w: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436,648</w:t>
            </w: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306,164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140,618</w:t>
            </w: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Line of credit and short-term revolving loans</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465,055</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218,788</w:t>
            </w:r>
          </w:p>
        </w:tc>
      </w:tr>
      <w:tr>
        <w:trPr>
          <w:trHeight w:val="216"/>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for sale of future revenues, net</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11,502</w:t>
            </w:r>
          </w:p>
        </w:tc>
      </w:tr>
      <w:tr>
        <w:trPr>
          <w:trHeight w:val="216"/>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payable in default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571,426</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51,135</w:t>
            </w: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1,572,953</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1,571,871</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and discount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439,049</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779,486</w:t>
            </w: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2,754,964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1,092,861</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 promissory notes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325,000</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825,000</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5,091,966</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$.001; 20,000,000 shares authorized; zero shares issued and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200,000,000 shares authorized; 6,802,464 and</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4,300,000 issued and outstanding as of December 31, 2022 and 2021, respectively</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6,802</w:t>
            </w: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25,239,654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8,355,140</w:t>
            </w:r>
          </w:p>
        </w:tc>
      </w:tr>
      <w:tr>
        <w:trPr>
          <w:trHeight w:val="230"/>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(13,639,491)</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(6,102,951)</w:t>
            </w:r>
          </w:p>
        </w:tc>
      </w:tr>
      <w:tr>
        <w:trPr>
          <w:trHeight w:val="20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11,606,965</w:t>
            </w:r>
          </w:p>
        </w:tc>
        <w:tc>
          <w:tcPr>
            <w:tcW w:w="5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2,256,489</w:t>
            </w:r>
          </w:p>
        </w:tc>
        <w:tc>
          <w:tcPr>
            <w:tcW w:w="100" w:type="dxa"/>
            <w:vAlign w:val="bottom"/>
            <w:tcBorders>
              <w:bottom w:val="single" w:sz="8" w:color="CCEEFF"/>
            </w:tcBorders>
          </w:tcPr>
          <w:p>
            <w:pPr>
              <w:spacing w:after="0"/>
              <w:rPr>
                <w:sz w:val="18"/>
                <w:szCs w:val="18"/>
                <w:color w:val="auto"/>
              </w:rPr>
            </w:pP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16,698,931</w:t>
            </w:r>
          </w:p>
        </w:tc>
        <w:tc>
          <w:tcPr>
            <w:tcW w:w="5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6,525,707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680" w:type="dxa"/>
            <w:vAlign w:val="bottom"/>
            <w:tcBorders>
              <w:top w:val="single" w:sz="8" w:color="auto"/>
              <w:bottom w:val="single" w:sz="8" w:color="auto"/>
            </w:tcBorders>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6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net</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7,162,837</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4,517,499</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4,874,392</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2,871,770</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2,288,445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8,241,859</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2,909,085</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(5,953,414)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conversion expense</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112,133</w:t>
            </w: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Extinguishment loss on debt settlement</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2,791,087</w:t>
            </w:r>
          </w:p>
        </w:tc>
      </w:tr>
      <w:tr>
        <w:trPr>
          <w:trHeight w:val="216"/>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1,605,916</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554,044</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(8,521)</w:t>
            </w: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0"/>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 expense</w:t>
            </w:r>
          </w:p>
        </w:tc>
        <w:tc>
          <w:tcPr>
            <w:tcW w:w="15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1,591,976</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3,448,202</w:t>
            </w:r>
          </w:p>
        </w:tc>
        <w:tc>
          <w:tcPr>
            <w:tcW w:w="100" w:type="dxa"/>
            <w:vAlign w:val="bottom"/>
            <w:tcBorders>
              <w:bottom w:val="single" w:sz="8" w:color="CCEEFF"/>
            </w:tcBorders>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(7,545,390)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(4,711,558)</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(income) / expense</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9,300</w:t>
            </w:r>
          </w:p>
        </w:tc>
      </w:tr>
      <w:tr>
        <w:trPr>
          <w:trHeight w:val="263"/>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(7,536,540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(4,720,858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197"/>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6,135,938</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2,888,695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 (Deficit) for Twelve Months ended December 31, 2022 and 2021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19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46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2,430,514</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(1,382,093)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shares upon conversion of convertible</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59,515</w:t>
            </w:r>
          </w:p>
        </w:tc>
        <w:tc>
          <w:tcPr>
            <w:tcW w:w="4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173,098</w:t>
            </w:r>
          </w:p>
        </w:tc>
        <w:tc>
          <w:tcPr>
            <w:tcW w:w="100" w:type="dxa"/>
            <w:vAlign w:val="bottom"/>
          </w:tcPr>
          <w:p>
            <w:pPr>
              <w:spacing w:after="0"/>
              <w:rPr>
                <w:sz w:val="20"/>
                <w:szCs w:val="20"/>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induced conversion of debt</w:t>
            </w: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112,133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shares in exchange for building signage</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6,667</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shares for cash</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81,106</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269,919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shares for cash class</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75,662</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251,924</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shares upon settlement of convertible</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1,527,647</w:t>
            </w: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5,543,832</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5,545,359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shares in exchange for services</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108,870</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shares for cash amount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88,889</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316,311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detachable warrants to long-term debt</w:t>
            </w: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809,806</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warrants to underwriters</w:t>
            </w: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262,354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warrants in exchange for services</w:t>
            </w: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407,700</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options in exchange for services</w:t>
            </w: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79,200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(4,720,858)</w:t>
            </w:r>
          </w:p>
        </w:tc>
        <w:tc>
          <w:tcPr>
            <w:tcW w:w="10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(4,720,858)</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8,355,140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(6,102,951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Issuance of shares, initial public offering, net of</w:t>
            </w: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costs</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2,466,750</w:t>
            </w:r>
          </w:p>
        </w:tc>
        <w:tc>
          <w:tcPr>
            <w:tcW w:w="4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14,770,021</w:t>
            </w:r>
          </w:p>
        </w:tc>
        <w:tc>
          <w:tcPr>
            <w:tcW w:w="100" w:type="dxa"/>
            <w:vAlign w:val="bottom"/>
          </w:tcPr>
          <w:p>
            <w:pPr>
              <w:spacing w:after="0"/>
              <w:rPr>
                <w:sz w:val="20"/>
                <w:szCs w:val="20"/>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14,772,487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shares in exchange for IPO services</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35,714</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stock options</w:t>
            </w: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2,114,529</w:t>
            </w:r>
          </w:p>
        </w:tc>
        <w:tc>
          <w:tcPr>
            <w:tcW w:w="10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stock options</w:t>
            </w: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(7,536,540)</w:t>
            </w:r>
          </w:p>
        </w:tc>
        <w:tc>
          <w:tcPr>
            <w:tcW w:w="10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(7,536,540)</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6,802,464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25,239,654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(13,639,491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11,606,965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680" w:type="dxa"/>
            <w:vAlign w:val="bottom"/>
            <w:tcBorders>
              <w:top w:val="single" w:sz="8" w:color="auto"/>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(7,536,540)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(4,720,858)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164,767</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61,084</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103,701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(sale of future revenues)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95,284</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 notes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1,196,843</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conversion expense on induced conversion of convertible notes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112,133</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loss on debt settlement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2,791,087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(13,312)</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allowance for doubtful accounts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2,114,529</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188,100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accounts receivable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458,322</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(566,435)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inventory</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(2,478,256)</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(1,683,602)</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 Decrease in prepaid/in-transit inventory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939,614</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(728,033)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(100,088)</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(69,552)</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deposits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 (Decrease) in accounts payable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(3,792)</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11,177</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customer deposits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(436,590)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accrued expenses and other current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165,546</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494,553</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liability for refunds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right-of-use assets and lease liabilities</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41,286</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19,248</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(5,468,572)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(567,370)</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(113,694)</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sale of property and equipment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51,678</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(515,692)</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 and short-term revolving loans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1,385,000</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(1,798,420)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future revenues, net of discount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liability for sale of future revenues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(11,797)</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(329,626)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discount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2,781,000</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14,772,487</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838,400</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12,412,270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6,428,006</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482,563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773,238</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290,675</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ending</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4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435,152</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341,257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franchise taxes</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300</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6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operating activities: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and accrued interest converted to common stock</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173,157</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accrued interest to long-term debt</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modified convertible note to long-term debt</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modified member promissory note to convertible notes</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 property and equipment</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Acquisition/modification of operating lease right-of-use asset and lease liability</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2,348,509</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1,268,089</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 exchange for long-term debt</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181,430</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183,058</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 exchange for short-term payable</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170,863</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deposit to property and equipment</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2021 convertible notes into common stock</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3,282,701</w:t>
            </w:r>
          </w:p>
        </w:tc>
      </w:tr>
      <w:tr>
        <w:trPr>
          <w:trHeight w:val="198"/>
        </w:trPr>
        <w:tc>
          <w:tcPr>
            <w:tcW w:w="6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of warrants issued in connection with long-term debt recorded as debt</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and additional paid-in capital</w:t>
            </w: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1,072,160</w:t>
            </w:r>
          </w:p>
        </w:tc>
      </w:tr>
      <w:tr>
        <w:trPr>
          <w:trHeight w:val="198"/>
        </w:trPr>
        <w:tc>
          <w:tcPr>
            <w:tcW w:w="6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Membership contributions reclassified to additional paid-in capital upon conversion</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C corporation</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827,290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1.</w:t>
        <w:tab/>
        <w:t>Organization and Nature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Expion360 Inc. (formerly Yozamp Products Company, LLC dba Expion360) (“the Company”) was incorporated in the state of Nevada in November 2021. Effective November 1, 2021, the Company converted to a C corporation. Prior to conversion, the Company was a limited liability company (LLC) with an indefinite life organized in the State of Oregon in June 2016. The LLC elected to be treated as a Subchapter S corporation effective January 1, 2017. Net profits and losses of the LLC and all distributions were allocated among the members in proportion to the ownership units held. The Original LLC Agreement was amended and restated on January 1, 2021 to add additional members and a non-voting class of member units. Upon conversion to a C corporation, all existing LLC members at the time of conversion were issued shares of common stock and became shareholders of the Company. (See Note 11 – Conversion to a C Corporation).</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designs, assembles, and distributes premium lithium batteries for RV, Marine, Golf, Industrial, Residential, and Off-The-Grid needs. The Company uses lithium iron phosphate (LiFePO4) batteries. LiFePO4 batteries are considered a top choice for high energy density, dependability, longevity, and safety, providing the ability to power anything, anywhere.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Beginning in March 2020, the COVID-19 pandemic and the measures imposed to contain this pandemic have disrupted and may continue to impact the Company’s business. The magnitude of the impact of the COVID-19 pandemic on the Company’s productivity, results of operations, and financial position, and its disruption to the Company’s business and battery development and timeline, will depend in part on the length and severity of these restrictions and on the Company’s ability to conduct business in the ordinary course.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2.</w:t>
        <w:tab/>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audited financial statements have been prepared by the Company in accordance with accounting principles generally accepted in the United States of America (U.S. GAAP) for interim financial information, and pursuant to the instructions to Form 10-Q and Article 10 of Regulation S-X promulgated by the Securities and Exchange Commission (SEC). Accordingly, they do not include all of the information and footnotes required by U.S. GAAP for complete financial statement presentation. However, the Company believes that the disclosures are adequate to make the information presented not misleading. In the opinion of management, all adjustments (consisting primarily of normal recurring accruals) considered necessary for a fair presentation have been included.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all references to shares and shareholders in the accompanying financial statements have been restated retrospectively, to reflect the equity structure of the C corporation as of the beginning of the first period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Prior Year Presentation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current year presentation. These reclassifications had no effect on the reported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Liquidity and Capital Resources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failing to secure additional funding before the Company achieves sustainable revenues and profit from operations. The Company expects to continue to incur additional losses for the foreseeable future, and the Company may need to raise additional debt or equity financing to expand its presence in the marketplace, develop new products, achieve operating efficiencies, and accomplish its long-term business plan over the next several years. There can be no assurance as to the availability or terms upon which such financing and capital might be available.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presented in the accompanying financial statements, the Company has sustained recurring losses and negative cash flows from operations. These factors raise substantial doubt about the Company’s ability to continue as a going concern within twelve months after the date that the financial statements for the year ended December 31, 2022 are issued. However, management is working to address its cash flow challenges, including raising additional capital, alternative supply chain resources, and in-house assembly lines.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the Company’s growth has been funded through a combination of sales of equity interests, third party debt, and working capital loans. The Company’s sales for 2022 increased 59% over sales for 2021, as product demand continued to rise. On April 1, 2022, the Company completed an initial public offering and listing of its shares on the Nasdaq Stock Market (IPO). Proceeds from the IPO, net of costs, totaled $14,772,487, of which approximately $2,464,000 was used to pay down principal and accrued interest on high interest-bearing debt. The remaining proceeds will be used, in part, to stock inventory to keep up with demand and to build in-house assembly lines to improve the cash-flow cycle and help reduce the four-month turnaround that the Company currently experiences from suppliers in China. In the first half of 2022, a distribution warehouse was set up in Indiana to better service customers throughout the U.S. and an assembly facility was leased in Redmond, Oregon for future expansion of the in-house assembly lines. Additionally, management has secured a secondary source for lithium iron phosphate cells used in its batteries that is based in Denmark, should supply disruption issues with China arise. Management believes that these factors will contribute to achieving operating efficiency and profitability. However, there can be no assurance that the Company will be successful in achieving its objectives, including achieving operating efficiency and profitability.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which contemplates the realization of assets and the settlement of liabilities and commitments in the normal course of business; however, the above conditions raise substantial doubt about the Company’s ability to do so.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materially from the estimates that were used. The Company’s significant accounting estimates include the carrying value of accounts receivable and inventory, the depreciable lives of fixed assets, and stock-based compensation.</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Future events, including the extent and the duration of the COVID-19-related economic impacts and their effects, cannot be predicted with certainty and, accordingly, the Company’s accounting estimates require the exercise of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considers all cash amounts which are not subject to withdrawal restrictions or penalties and all highly liquid investments purchased with an original maturity of three months or less from the date of purchase to be cash equivalents. The Company maintains its cash balances with high-quality financial institutions located in the United States. Accounts are secured by the Federal Deposit Insurance Corporation (“FDIC”) up to $250,000 per institution. At times, balances may exceed federally insured limits. The Company has not experienced any losses in such accounts and management believes that the Company is not exposed to any significant credit risk with respect to its cash and cash equivalents. As of December 31, 2022, cash balances exceeded FDIC limits by $222,162.</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two accounts totaling $11,204 with SVB. As of March 13, 2023 all funds were transferred to another banking institution and no exposure currently exists.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due within a year or less, and generally do not bear any interest. The Company performs ongoing credit evaluations of its customers and generally requires no collateral. An allowance for uncollectible accounts is recorded to reduce accounts receivable to the estimated amount that will be collected. The allowance is based upon management’s review of the accounts receivable aging and specific identification of potentially uncollectible balances. Recoveries of accounts previously written off and adjustments to the allowance for uncollectible accounts are recorded as adjustments to bad debt expense. The allowance for doubtful accounts totaled $18,804 as of December 31, 2022. There was no allowance for doubtful accounts as of December 31, 2021, as management believed all outstanding amounts to be fully collectible.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had customer deposits totaling $58 and $436,648,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(first in, first out) or net realizable value and consists of batteries and accessories, resale items, components, and related landing costs. As of December 31, 2022 and December 31, 2021, the Company had inventory that consisted of finished assemblies totaling $2,722,765 and $985,537, respectively, and raw materials (inventory components, parts, and packaging) totaling $1,807,371 and $1,066,343, respectively. The valuation of inventory includes fixed production overhead costs based on normal capacity of the assembly warehouse.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inventory for evidence of slow-moving or obsolete inventory and provides for an allowance when considered necessary. The Company determined that no such reserve was necessary as of December 31, 2022 or December 31, 2021. The Company prepays for inventory purchases from foreign suppliers. Prepaid inventory totaled $141,611 and $1,081,225 at December 31, 2022 and December 31, 2021, respectively, and included inventory in transit where title had passed to the Company but had not yet been physically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and Foreign Concentrations of Inventory Suppliers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approximately 85% and 90%, respectively, of inventory purchases were made from foreign suppliers in China and Hong Kong. Any adverse change in either the economic or political conditions abroad could negatively impact the Company’s supply chain. The inability to obtain product to meet sales demand could adversely affect results of operations. However, the Company has secured a secondary source for lithium iron phosphate cells used in its batteries from a supplier in Denmark, enabling the Company to source materials outside of China in the event it becomes necessary to do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calculated on the straight-line basis over the estimated useful lives of the related assets as follows:</w:t>
      </w:r>
    </w:p>
    <w:tbl>
      <w:tblPr>
        <w:tblLayout w:type="fixed"/>
        <w:tblInd w:w="0" w:type="dxa"/>
        <w:tblCellMar>
          <w:top w:w="0" w:type="dxa"/>
          <w:left w:w="0" w:type="dxa"/>
          <w:bottom w:w="0" w:type="dxa"/>
          <w:right w:w="0" w:type="dxa"/>
        </w:tblCellMar>
      </w:tblPr>
      <w:tr>
        <w:trPr>
          <w:trHeight w:val="172"/>
        </w:trPr>
        <w:tc>
          <w:tcPr>
            <w:tcW w:w="5640" w:type="dxa"/>
            <w:vAlign w:val="bottom"/>
            <w:tcBorders>
              <w:top w:val="single" w:sz="8" w:color="auto"/>
            </w:tcBorders>
          </w:tcPr>
          <w:p>
            <w:pPr>
              <w:ind w:left="180"/>
              <w:spacing w:after="0" w:line="172" w:lineRule="exact"/>
              <w:rPr>
                <w:sz w:val="20"/>
                <w:szCs w:val="20"/>
                <w:color w:val="auto"/>
              </w:rPr>
            </w:pPr>
            <w:r>
              <w:rPr>
                <w:rFonts w:ascii="Times New Roman" w:cs="Times New Roman" w:eastAsia="Times New Roman" w:hAnsi="Times New Roman"/>
                <w:sz w:val="18"/>
                <w:szCs w:val="18"/>
                <w:color w:val="auto"/>
              </w:rPr>
              <w:t>Vehicles and transportation equipment</w:t>
            </w:r>
          </w:p>
        </w:tc>
        <w:tc>
          <w:tcPr>
            <w:tcW w:w="28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QA equipment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Tooling and molds</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their estimated useful lives.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lives of the assets are capitalized; other repairs and maintenance charges are expensed as incurred. The cost and related accumulated depreciation and amortization applicable to assets retired are removed from the accounts, and the gain or loss on disposition is recognized in the Statements of Operations.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(“ROU”) assets represent the Company’s right to use an underlying asset during the lease term, and operating lease liabilities represent</w:t>
      </w: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obligation to make lease payments arising from the lease. Operating leases are included in ROU assets, current operating lease liabilities, and long-term operating lease liabilities on the Company’s Balance Sheets. The Company does not have any finance leases.</w:t>
      </w:r>
    </w:p>
    <w:p>
      <w:pPr>
        <w:spacing w:after="0" w:line="1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Lease ROU assets and lease liabilities are initially recognized based on the present value of the future minimum lease payments over the lease term at commencement date calculated using the Company’s incremental borrowing rate applicable to the lease asset, unless the implicit rate is readily determinable. ROU assets also include any lease payments made at or before lease commencement and exclude any lease incentives received. The Company’s lease terms may include options to extend or terminate the lease when it is reasonably certain that the Company will exercise that option. Leases with a term of 12 months or less are not recognized on the Company’s Balance Sheet. The Company’s leases do not contain any residual value guarantees. Lease expense for minimum lease payments is recognized on a straight-line basis over the lease term.</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for all its leases.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When events or circumstances indicate the carrying value of a long-lived asset may be impaired, the Company estimates the future undiscounted cash flows to be derived from the use and eventual disposition of the asset to assess whether or not a potential impairment exists. If the carrying value exceeds the estimate of future undiscounted cash flows, the impairment is calculated as the excess of the carrying value of the asset over the estimate of its fair value. Fair value is determined primarily using the estimated cash flows discounted at a rate commensurate with the risk involved. No long-lived asset impairment was recognized during the years ended December 31, 2022 and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sells the majority of its products to customers along with conditional repair or replacement warranties. The Company’s branded DC mobile chargers are warrantied for two years from the date of sale. The company’s branded VPR 4EVER Classic and Platinum batteries and re-branded e360 and e360 Extreme Density batteries are warrantied at gradually lesser levels over a twelve-year period from date of sale. The Company determines its estimated liability for warranty claims based on the Company’s experience of the amount of claims actually made. Management estimates no liability as of December 31, 2022 and December 31, 2021 because, historically, there have been very few claims and costs for repairs or replacement parts have been nominal. It is possible that the Company’s estimate of a liability for product liability claims will change in the near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Refunds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a formal return policy but does accept returns under its warranty policies. Returns have historically been minimal. However, during 2020 the Company sold discontinued products and recorded a liability for refunds. As of December 31, 2020, the liability totaled $58,000. During the year ended December 31, 2021, the Company issued credits totaling $58,000, respectively. As of December 31, 2021, all allowable discontinued products had been returned and the Company had no further refund liability. No refund liability was recognized in the year ended December 31, 2022. Revenue is recorded net of this amount. Any returns of discontinued product are not added back to inventory and therefore related costs are nominal and not recorded as an asset.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revenue is generated from the sale of products consisting primarily of batteries and accessories. The Company recognizes revenue when control of goods or services is transferred to its customers in an amount that reflects the consideration it is expected to be entitled to in exchange for those goods or services. To determine revenue recognition, the Company performs the following five steps: (i) identify the contract(s) with a customer;</w:t>
      </w:r>
    </w:p>
    <w:p>
      <w:pPr>
        <w:spacing w:after="0" w:line="1" w:lineRule="exact"/>
        <w:rPr>
          <w:sz w:val="20"/>
          <w:szCs w:val="20"/>
          <w:color w:val="auto"/>
        </w:rPr>
      </w:pPr>
    </w:p>
    <w:p>
      <w:pPr>
        <w:jc w:val="both"/>
        <w:ind w:firstLine="8"/>
        <w:spacing w:after="0" w:line="253" w:lineRule="auto"/>
        <w:tabs>
          <w:tab w:leader="none" w:pos="2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(iii) determine the transaction price; (iv) allocate the transaction price to the performance obligation(s) in the contract; and (v) recognize revenue when (or as) the performance obligation(s) are satisfied. Revenue is recognized upon shipment or delivery to the customer, as that is when the customer obtains control of the promised goods and the Company’s performance obligation is considered satisfied. As such, accounts receivable is recorded at the time of shipment or will call, when the Company’s right to the consideration becomes unconditional and the Company determines there are no uncertainties regarding payment terms or transfer of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Customers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customer is considered a major customer when net revenue attributable to the customer exceeds 10% of total revenue for the period or outstanding receivable balances exceed 10% of total receivables.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sales to three customers totaled $2.9 million, comprising approximately 41% of total sales. These customers represented 43% of total accounts receivable as of December 31, 2022. During the year ended December 31, 2021, sales to one customer totaled $486,000, comprising 11% of total sales. This customer did not have an accounts receivable balance as of December 31, 2021, but three other customers had accounts receivable balances totaling $658,000 and representing a total of 85% of total accounts receivable as of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Shipping and handling fees billed to customers are classified on the Statement of Operations as “Sales, net” and totaled $23,188 and $25,688 during the years ended December 31, 2022 and 2021, respectively. Shipping and handling costs for shipping product to customers totaled $169,335 and $102,653 during the years ended December 31, 2022 and 2021, respectively, and are classified in selling, general and administrative expense in the accompanying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 Costs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and marketing costs as incurred. Advertising and marketing expense totaled $239,814 and $67,394 for the years ended December 31, 2022 and 2021, respectively, and is included in selling, general and administrative expense in the accompanying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charged to expense amounted to $270,054 and $58,044 for the years ended December 31, 2022 and 2021, respectively, and are included in selling, general and administrative expenses in the accompanying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January 1, 2017 to October 31, 2021, the Company was not subject to federal or state income taxes since it was a limited liability company taxed as an S corporation. The Company’s taxable income or losses were allocated to its members in accordance with their respective ownership percentages. Therefore, no provision or liability for federal income taxes was included in the accompanying financial statements for the relevant periods in 2021. Certain states impose minimum franchise taxes on entities taxed as an S corporation. Accordingly, the accompanying financial statements include provisions for state franchise tax fees.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and, as a result, became subject to corporate federal and state income taxes. Deferred tax assets and liabilities are recognized for the future tax consequences attributable to differences between the financial statement carrying amounts of exiting assets and liabilities and their respective tax basis. Deferred tax assets, including tax loss and credit carryforwards,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Deferred income tax expense represents the change during the period in the deferred tax assets and deferred tax liabilities. Deferred tax assets are reduced by a valuation allowance when, in the opinion of management, it is more likely than not that some portion or all of the deferred tax assets will not be realized.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2" w:name="page73"/>
    <w:bookmarkEnd w:id="72"/>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The CARES Act provides sweeping tax changes in response to the COVID-19 pandemic. Some of the more significant provisions are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As of December 31, 2022 and 2021, the Company has not recorded any income tax provision/(benefit) resulting from the CARES Act, mainly due to the Company’s history of net operating losses.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27, 2020, the United States enacted the Consolidated Appropriations Act of 2021 (“CAA”). The CAA includes provisions extending certain CARES Act provisions and adds coronavirus relief, tax and health extenders. The Company will continue to evaluate the impact of the CAA and its impact on its financial statements in 2022 and beyond.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financial assets and liabilities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Topic 820 establishes a fair value hierarchy that prioritizes the inputs to valuation techniques used to measure fair value, as follows:</w:t>
      </w:r>
    </w:p>
    <w:p>
      <w:pPr>
        <w:spacing w:after="0" w:line="158" w:lineRule="exact"/>
        <w:rPr>
          <w:sz w:val="20"/>
          <w:szCs w:val="20"/>
          <w:color w:val="auto"/>
        </w:rPr>
      </w:pPr>
    </w:p>
    <w:p>
      <w:pPr>
        <w:jc w:val="both"/>
        <w:ind w:left="50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accessible at the measurement date.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gives the highest priority to Level 1 inputs.</w:t>
      </w:r>
    </w:p>
    <w:p>
      <w:pPr>
        <w:spacing w:after="0" w:line="158"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corroborated by market data. These inputs include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quoted market prices in markets that are not active; or other inputs that are observable or can be corroborated by observable market data for substantially the full term of the assets or liabilities.</w:t>
      </w:r>
    </w:p>
    <w:p>
      <w:pPr>
        <w:spacing w:after="0" w:line="173"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fair value, we utilize valuation techniques that maximize the use of observable inputs and minimize the use of unobservable inputs to the extent possible, as well as consider counterparty credit risk in the assessment of fair value.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accounts receivable, accounts payable, short-term revolving loans, shareholder promissory notes, and long-term debt. The fair value of cash and cash equivalents, accounts receivable, accounts payable, and short-term revolving loans approximates their respective carrying values because of the short-term nature of those instruments. The fair value of the shareholder promissory notes, convertible notes, and long-term debt approximates their respective carrying values because the interest rate approximates market rates available to the Company for similar obligations with the same maturities.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currently operates in one reportable segment. An operating segment is defined as a component of an enterprise for which discrete financial information is available and is reviewed regularly by the Chief Operating Decision Maker (“CODM”) to evaluate performance and make operating decisions. The Company has identified its CODM as the Chief Executive Officer.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Basic and Diluted Net Loss Per Share</w:t>
      </w:r>
    </w:p>
    <w:p>
      <w:pPr>
        <w:spacing w:after="0" w:line="268" w:lineRule="exact"/>
        <w:rPr>
          <w:sz w:val="20"/>
          <w:szCs w:val="20"/>
          <w:color w:val="auto"/>
        </w:rPr>
      </w:pPr>
    </w:p>
    <w:p>
      <w:pPr>
        <w:ind w:left="40" w:firstLine="613"/>
        <w:spacing w:after="0" w:line="282" w:lineRule="auto"/>
        <w:rPr>
          <w:sz w:val="20"/>
          <w:szCs w:val="20"/>
          <w:color w:val="auto"/>
        </w:rPr>
      </w:pPr>
      <w:r>
        <w:rPr>
          <w:rFonts w:ascii="Times New Roman" w:cs="Times New Roman" w:eastAsia="Times New Roman" w:hAnsi="Times New Roman"/>
          <w:sz w:val="18"/>
          <w:szCs w:val="18"/>
          <w:color w:val="auto"/>
        </w:rPr>
        <w:t>The basic net loss per share is calculated by dividing the net loss by the weighted average number of shares outstanding during the period. Diluted earnings or loss per share adjusts the basic earnings or loss per share for the potentially dilutive impact of securities (e.g., options and warrants).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calculate basic and diluted net loss per share using the weighted average number of common shares outstanding during the periods presented. In periods of a net loss position, basic and diluted weighted average common shares are the same. For the diluted earnings per share calculation, we adjust the weighted average number of common shares outstanding to include dilutive stock options, warrants, unvested restricted stock units and shares associated with the conversion of any convertible notes or preferred stock, when applicable. We use the if-converted method for calculating any potential dilutive effect of convertible notes and convertible preferred stock on diluted net loss per share.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amounts used in computing net loss per share: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(7,536,540)</w:t>
            </w:r>
          </w:p>
        </w:tc>
        <w:tc>
          <w:tcPr>
            <w:tcW w:w="10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(4,720,858)</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6,135,938</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2,888,695</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40" w:type="dxa"/>
            <w:vAlign w:val="bottom"/>
            <w:tcBorders>
              <w:top w:val="single" w:sz="8" w:color="CCEEFF"/>
              <w:bottom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years ended December 31, 2022 and 2021, the Company has outstanding warrants and options convertible into 1,717,936 shares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 stock, respectively. The following table sets forth the number of shares excluded from the computation of diluted loss per share, as their inclusion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would have been anti-dilutive.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30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09"/>
        </w:trPr>
        <w:tc>
          <w:tcPr>
            <w:tcW w:w="720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24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829,500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24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888,436</w:t>
            </w: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710,431</w:t>
            </w:r>
          </w:p>
        </w:tc>
      </w:tr>
      <w:tr>
        <w:trPr>
          <w:trHeight w:val="223"/>
        </w:trPr>
        <w:tc>
          <w:tcPr>
            <w:tcW w:w="72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1,717,936</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which requires compensation costs to be recognized at grant date fair value over the requisite service period of each of the awards. The Company recognizes forfeitures of awards as they occur.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Black-Scholes-Merton option pricing model. In order to calculate the fair value of the options, certain assumptions are made regarding the components of the model, including risk-free interest rate, volatility, expected dividend yield and expected life. Changes to assumptions could cause significant adjustments to the valuation.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Emerging Issues Task Force).” ASU 2021-04 requires issuers to account for modifications or exchanges of freestanding equity-classified written call options that remain equity classified after the modification or exchange based on the economic substance of the modification or exchange. Under the guidance, an issuer determines the accounting for the modification or exchange based on whether the transaction was done to issue equity, to issue or modify debt, or for other reasons. ASU 2021-04 is applied prospectively and is effective for fiscal years beginning after December 15, 2021, and interim periods within those fiscal years. The Company adopted this standard in the first quarter of fiscal 2022, which did not have a material impact on the Company’s financial statements or disclosures.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4" w:name="page75"/>
    <w:bookmarkEnd w:id="74"/>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Under ASU 2020-06, the embedded conversion features are no longer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as long as no other features require bifurcation and recognition as derivatives. Similarly, equity-classified convertible preferred stock instruments will be accounted for as single units of account in equity unless the conversion feature needs to be bifurcated under Topic 815. The new guidance also made amendments to the earnings per share guidance in Topic 260, Earnings Per Share, for convertible instruments, the most significant impact of which is requiring the use of the if-converted method for diluted earnings per share calculation. Further, ASU 2020-06 made revisions to Subtopic 815-40, which provides guidance on how an entity must determine whether a contract qualifies for a scope exception from derivative accounting. ASU 2020-06 is effective for fiscal years beginning after December 15, 2021, with early adoption permitted. Adoption of the standard requires using either a modified retrospective or a full retrospective approach. Effective January 1, 2021, the Company early adopted ASU 2020-06 using the modified retrospective approach. Adoption of the new standard did not have a material impact on the Company’s financial statements or disclosures.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FASB issued ASU 2020-01, Investments—Equity Securities (Topic 321), Investments—Equity Method and Joint Ventures (Topic 323), and Derivatives and Hedging (Topic 815): Clarifying the Interactions between Topic 321, Topic 323, and Topic 815. The new guidance clarifies the interaction of accounting for the transition into and out of the equity method and the accounting for measuring certain purchased options and forward contracts to acquire investments. ASU 2020-01 is effective for fiscal years beginning after December 15, 2020, including interim periods within those fiscal years. Effective January 1, 2021, the Company adopted ASU 2020-01. The adoption of this guidance did not have an impact on the Company’s financial statements or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is intended to enhance the transparency surrounding the use of supplier finance programs in connection with the purchase of goods and services. Supplier finance programs may also be referred to as reverse factoring, payables finance, or structured payables arrangements. The amendments in ASU 2022-04 require a buyer that uses supplier finance programs to disclose sufficient qualitative and quantitative information about the program to allow a user of financial statements to understand the program’s nature, activity during the period, changes from period to period, and potential magnitude. ASU 2022-04 is effective for all entities for fiscal years beginning after December 15, 2022 on a retrospective basis, including interim periods with those fiscal years, except for the requirement to disclose roll forward information, which is effective prospectively for fiscal years beginning after December 15, 2023. The Company is currently evaluating the impact of this standard on our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ASU 2022-03, “Fair Value Measurement (Topic 820): Fair Value Measurement of Equity Securities Subject to Contractual Sale Restrictions,” which amends the guidance in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to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ASU introduces new disclosure requirements for equity securities subject to contractual sale restrictions that are measured at fair value. ASU 2022-03 is effective for fiscal years beginning after December 15, 2023, including interim periods within those fiscal years for public business entities. The Company is currently evaluating the impact of this standard on our financial statements.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March 2022, the FASB issued ASU 2022-02, “Financial Instruments—Credit Losses (Topic 326): Troubled Debt Restructurings and Vintage Disclosures,” which addresses and amends areas identified by the FASB as part of its post-implementation review of the accounting standard that introduced the current expected credit losses (“CECL”) model. The amendments eliminate the accounting guidance for troubled debt restructurings by creditors that have adopted the CECL model and enhance the disclosure requirements for loan refinancings and restructurings made with borrowers experiencing financial difficulty. In addition, the amendments require disclosure of current-period gross write-offs for financing receivables and net investment in leases by year of origination in the vintage disclosures. For entities, such as Expion360 Inc., that have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yet adopted the CECL accounting model in ASU 2016-13, the effective date for the amendments in ASU 2022-02 is the same as the effective date in ASU 2016-13 (i.e., fiscal years beginning after December 15, 2022, including interim periods within those fiscal years). The Company is currently evaluating the impact of this standard on our financial statements.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ASU 2021-08 requires contract assets and contract liabilities acquired in a business combination to be recognized and measured in accordance with Topic 606, Revenue from Contracts with Customers, on the acquisition date as if the acquirer had entered into the original contract at the same date and on the same terms as the acquiree. ASU 2021-08 is effective for fiscal years beginning after December 15, 2022, including interim periods within those fiscal years for public business entities. The Company is currently evaluating the impact of this standard on our financial statements.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on Financial Instruments. This ASU replaces the incurred loss impairment methodology in current U.S.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fiscal years beginning after December 15, 2022. The Company is currently evaluating the impact of adopting this guidance.</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3.</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auto"/>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593,097</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298,752</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314,819</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59,316</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188,131</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179,274</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81,164</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44,356</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QA equipment</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22,142</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Tooling and Molds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15,992</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15,992</w:t>
            </w:r>
          </w:p>
        </w:tc>
      </w:tr>
      <w:tr>
        <w:trPr>
          <w:trHeight w:val="210"/>
        </w:trPr>
        <w:tc>
          <w:tcPr>
            <w:tcW w:w="7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1,394,619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523,419</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(250,861)</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(96,190)</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$164,767 and $61,084 for the years ended December 31, 2022 and 2021,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4.</w:t>
      </w:r>
      <w:r>
        <w:rPr>
          <w:sz w:val="20"/>
          <w:szCs w:val="20"/>
          <w:color w:val="auto"/>
        </w:rPr>
        <w:tab/>
      </w:r>
      <w:r>
        <w:rPr>
          <w:rFonts w:ascii="Times New Roman" w:cs="Times New Roman" w:eastAsia="Times New Roman" w:hAnsi="Times New Roman"/>
          <w:sz w:val="17"/>
          <w:szCs w:val="17"/>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payroll liabilities</w:t>
            </w:r>
          </w:p>
        </w:tc>
        <w:tc>
          <w:tcPr>
            <w:tcW w:w="23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169,337</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Rebate liability</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26,015</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23,010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and deposit (sublease)</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29,120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26,301</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86,302</w:t>
            </w: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26,748</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5.</w:t>
      </w:r>
      <w:r>
        <w:rPr>
          <w:sz w:val="20"/>
          <w:szCs w:val="20"/>
          <w:color w:val="auto"/>
        </w:rPr>
        <w:tab/>
      </w:r>
      <w:r>
        <w:rPr>
          <w:rFonts w:ascii="Times New Roman" w:cs="Times New Roman" w:eastAsia="Times New Roman" w:hAnsi="Times New Roman"/>
          <w:sz w:val="17"/>
          <w:szCs w:val="17"/>
          <w:b w:val="1"/>
          <w:bCs w:val="1"/>
          <w:i w:val="1"/>
          <w:iCs w:val="1"/>
          <w:color w:val="auto"/>
        </w:rPr>
        <w:t>Liabilities for Sale of Future Revenues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December 10, 2020 and January 26, 2021, Reliant Funding, under two separate ACH Total Receipts Purchase Agreements (“Purchase Agreements”), purchased a 50% interest in the Company’s future revenues for a total aggregate purchase price of $250,000. Pursuant to the terms of the Purchase Agreements, the purchased percentage continued to be owned by Reliant Funding, until the Company paid the full purchased amount of $349,750. Repayment of the purchased amount was achieved through 252 daily bank account withdrawals of $1,388 through December 15, 2021 and $694 thereafter through January 26, 2022. During the year ended December 31, 2022, the company repaid a total of $11,797, including $295 of interest. During the year ended December 31, 2021, the company repaid a total of $329,626, including $95,284 of interest. Interest was recognized at an effective annual interest rate of approximately 71%. As of December 31, 2021, the Company had a total remaining liability related to the Purchase Agreements of $11,502 and total remaining payments of $11,797 (including interest). The Purchase Agreements were secured by substantially all of the assets of the Company. As of December 31, 2022, the Company had no remaining liability related to the Purchase Agreements.</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6.</w:t>
      </w:r>
      <w:r>
        <w:rPr>
          <w:sz w:val="20"/>
          <w:szCs w:val="20"/>
          <w:color w:val="auto"/>
        </w:rPr>
        <w:tab/>
      </w:r>
      <w:r>
        <w:rPr>
          <w:rFonts w:ascii="Times New Roman" w:cs="Times New Roman" w:eastAsia="Times New Roman" w:hAnsi="Times New Roman"/>
          <w:sz w:val="17"/>
          <w:szCs w:val="17"/>
          <w:b w:val="1"/>
          <w:bCs w:val="1"/>
          <w:i w:val="1"/>
          <w:iCs w:val="1"/>
          <w:color w:val="auto"/>
        </w:rPr>
        <w:t>Short-Term Revolving Loans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January 2020 to October 2020, the Company received funds totaling $900,000 under four unsecured Working Capital Loan Agreements (“WC Loans”) from two different third-party lenders. As of December 31, 2021, a balance of $550,000 remained outstanding under the WC Loan Agreements and in accordance with the modified terms, the Company was subject to monthly extended maturity interest of one percent on the ending outstanding monthly balance which increased one percent for each month beyond the extended maturity date. The WC Loans were repaid in full in April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each WC Loan are summarized below:</w:t>
      </w:r>
    </w:p>
    <w:p>
      <w:pPr>
        <w:spacing w:after="0" w:line="225"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limit - dated January 25, 2020; monthly interest-only payments at 10% annual interest, principal payment of $70,000 paid during the year ended December 31, 2020, balance of $80,000 due 12 months from date of issue and paid in full at maturity in 2021.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limit - dated January 28, 2020; monthly interest-only payments at 12% annual interest; principal due 12 months from date of issue. This note was modified effective January 1, 2021 to extend the maturity date to December 31, 2021 (see below) and was paid in full with a payment of $50,000 in July 2021 and $100,000 in September 2021.</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limit – dated March 22, 2020; monthly interest-only payments at 15% annual interest; principal due 12 months from date of issue. This note was modified effective January 1, 2021 to extend the maturity date to December 31, 2021. The Company paid $50,000 towards the principal balance in November 2021. The balance of $150,000 was paid in full in April 2022 (see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both"/>
        <w:ind w:left="660" w:right="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limit – dated August 31, 2020; monthly interest-only payments at 10% annual interest; pursuant to the WC Loan, the maturity was to be determined by mutual agreement and was to be at least 30 days after a maturity date is agreed upon. The note was modified effective January 1, 2021 to establish a maturity date of December 31, 2021, and was paid in full in April 2022 (see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January 1, 2021, as noted above, three of the working capital loan agreements, all from the same investor, were modified. The modification was to extend the maturity date on two of the notes from January 28, 2021 and March 22, 2021 to December 31, 2021, and to establish a maturity date of December 31, 2021 for the WC Loan that left the maturity date open to negotiations in the original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2021, a balance of $550,000 remained outstanding under the WC Loan Agreements and in accordance with the modified terms, the Company was subject to monthly extended maturity interest of one percent on the ending outstanding monthly balance which increased one percent for each month beyond the extended maturity date. The Company remained in compliance with all interest payments and paid the WC Loans in full in April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fees incurred in connection with obtaining and modifying these agreements were nominal and, given the short-term maturity of one year, were expensed as incurred. There was no accounting impact to the financial statements related to the modifications.</w:t>
      </w:r>
    </w:p>
    <w:p>
      <w:pPr>
        <w:spacing w:after="0" w:line="15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2022 and 2021:</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72"/>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promissory notes – various investors. Monthly payments of interest only at 10%</w:t>
            </w:r>
          </w:p>
        </w:tc>
        <w:tc>
          <w:tcPr>
            <w:tcW w:w="10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deferred interest of 5% accrued monthly to be paid at maturity.  A minimum of one year</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is due at maturity. Matures the earlier of (a) May 15, 2023, (b) the closing of a qualified</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financing or (c) the closing of a change of control. The notes are senior to all other</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and are secured by substantially all assets of the Company. The notes included detachable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482,268 shares of common stock at an exercise price of $3.32 per share (see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12 – Stockholders’ Equity). Debt issuance costs and discount totaling $1,287,160 at date of</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were being amortized and recognized as additional interest expense over the term of the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using the straight-line method because it was not substantially different from the effective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method. We determined the expected life of the notes to be the contractual term.</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these notes includes amortization of debt issuance costs and discount in</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 of $1,196,843 and $117,587, respectively, for the years ended December 31, 2022 and</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respectively. The notes were paid in full in April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1,600,000</w:t>
            </w:r>
          </w:p>
        </w:tc>
      </w:tr>
      <w:tr>
        <w:trPr>
          <w:trHeight w:val="29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 bank. Payable in monthly installments of $332, including interest at 5.8% per</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annum, due August 2025, secured by equipment and personally guaranteed by a co-founder.</w:t>
            </w: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9,825</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13,135</w:t>
            </w:r>
          </w:p>
        </w:tc>
      </w:tr>
      <w:tr>
        <w:trPr>
          <w:trHeight w:val="29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credit union. Payable in monthly installments of $508, including interest at 5.45%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annum, due July 2026, secured by a vehicle and personally guaranteed by a co-founder.</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19,364</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24,259</w:t>
            </w:r>
          </w:p>
        </w:tc>
      </w:tr>
      <w:tr>
        <w:trPr>
          <w:trHeight w:val="29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 SBA. Economic Injury Disaster Loan payable in monthly installments of $731,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including interest at 3.75% per annum, due May 2050, and personally guaranteed by a co-founder.</w:t>
            </w: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150,114</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153,193</w:t>
            </w:r>
          </w:p>
        </w:tc>
      </w:tr>
      <w:tr>
        <w:trPr>
          <w:trHeight w:val="344"/>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individual. Monthly payments of interest only at 10% per annum, matured</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 resulting in the entire principal balance recorded in current portion of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on the accompanying Balance Sheets for the year ending December 31, 2021;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the note, the past due balance is subject to 1% additional monthly interest which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one percent for each month beyond maturity date, unsecured. The Company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remained in compliance with the extended maturity interest payments and paid the note in full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April 2022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100,000</w:t>
            </w:r>
          </w:p>
        </w:tc>
      </w:tr>
      <w:tr>
        <w:trPr>
          <w:trHeight w:val="29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 finance company. Payable in monthly installments of $994, including interest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at 8.5% per annum, due July 2026, secured by a vehicle and personally guaranteed by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shareholder. The Note was paid in full September 2022.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45,832</w:t>
            </w:r>
          </w:p>
        </w:tc>
      </w:tr>
      <w:tr>
        <w:trPr>
          <w:trHeight w:val="29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finance company.  Payable in monthly installments of $2,204, including</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at 11.21% per annum, due August 2026, secured by a vehicle and personally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guaranteed by a co-founder. The note was paid in full January 2023.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79,963</w:t>
            </w: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96,155</w:t>
            </w:r>
          </w:p>
        </w:tc>
      </w:tr>
      <w:tr>
        <w:trPr>
          <w:trHeight w:val="29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The Company has six and two notes payable to GM Financial for vehicles at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 and December 31, 2021.  In April 2022, the Company secured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 up to $300,000 to be used to finance vehicle purchases.  The agreement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expires in April 2023 but prevailing GM Financial existing term notes will remain. The notes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are payable in aggregate monthly installments of $4,676, including interest at rates ranging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from 5.89% to 7.29% per annum, mature at various dates from October 2027 to May of 2028,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and are secured by the related vehicles. Two of the notes are personally guaranteed by a co-</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founder.</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251,209</w:t>
            </w:r>
          </w:p>
        </w:tc>
        <w:tc>
          <w:tcPr>
            <w:tcW w:w="4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94,890</w:t>
            </w:r>
          </w:p>
        </w:tc>
      </w:tr>
      <w:tr>
        <w:trPr>
          <w:trHeight w:val="30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510,475</w:t>
            </w:r>
          </w:p>
        </w:tc>
        <w:tc>
          <w:tcPr>
            <w:tcW w:w="46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2,127,464</w:t>
            </w:r>
          </w:p>
        </w:tc>
      </w:tr>
      <w:tr>
        <w:trPr>
          <w:trHeight w:val="30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discount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(1,196,843)</w:t>
            </w:r>
          </w:p>
        </w:tc>
      </w:tr>
      <w:tr>
        <w:trPr>
          <w:trHeight w:val="52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(71,426)</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(51,135)</w:t>
            </w:r>
          </w:p>
        </w:tc>
      </w:tr>
      <w:tr>
        <w:trPr>
          <w:trHeight w:val="3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note payable in default (paid April 2022)</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r>
      <w:tr>
        <w:trPr>
          <w:trHeight w:val="30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discount and current portion</w:t>
            </w: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439,049</w:t>
            </w:r>
          </w:p>
        </w:tc>
        <w:tc>
          <w:tcPr>
            <w:tcW w:w="46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779,486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maturities of long-term debt are as follows:</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67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gridSpan w:val="2"/>
            <w:shd w:val="clear" w:color="auto" w:fill="CCEEFF"/>
          </w:tcPr>
          <w:p>
            <w:pPr>
              <w:jc w:val="right"/>
              <w:ind w:right="3020"/>
              <w:spacing w:after="0"/>
              <w:rPr>
                <w:sz w:val="20"/>
                <w:szCs w:val="20"/>
                <w:color w:val="auto"/>
              </w:rPr>
            </w:pPr>
            <w:r>
              <w:rPr>
                <w:rFonts w:ascii="Times New Roman" w:cs="Times New Roman" w:eastAsia="Times New Roman" w:hAnsi="Times New Roman"/>
                <w:sz w:val="18"/>
                <w:szCs w:val="18"/>
                <w:color w:val="auto"/>
              </w:rPr>
              <w:t>71,426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6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77,226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3020"/>
              <w:spacing w:after="0"/>
              <w:rPr>
                <w:sz w:val="20"/>
                <w:szCs w:val="20"/>
                <w:color w:val="auto"/>
              </w:rPr>
            </w:pPr>
            <w:r>
              <w:rPr>
                <w:rFonts w:ascii="Times New Roman" w:cs="Times New Roman" w:eastAsia="Times New Roman" w:hAnsi="Times New Roman"/>
                <w:sz w:val="18"/>
                <w:szCs w:val="18"/>
                <w:color w:val="auto"/>
              </w:rPr>
              <w:t>82,237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6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73,963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3020"/>
              <w:spacing w:after="0"/>
              <w:rPr>
                <w:sz w:val="20"/>
                <w:szCs w:val="20"/>
                <w:color w:val="auto"/>
              </w:rPr>
            </w:pPr>
            <w:r>
              <w:rPr>
                <w:rFonts w:ascii="Times New Roman" w:cs="Times New Roman" w:eastAsia="Times New Roman" w:hAnsi="Times New Roman"/>
                <w:sz w:val="18"/>
                <w:szCs w:val="18"/>
                <w:color w:val="auto"/>
              </w:rPr>
              <w:t>55,305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6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150,318</w:t>
            </w:r>
          </w:p>
        </w:tc>
      </w:tr>
      <w:tr>
        <w:trPr>
          <w:trHeight w:val="216"/>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510,475</w:t>
            </w: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Shareholder Promissory Notes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an outstanding principal balance of $825,000 due to shareholders under unsecured Promissory Notes Agreements (“Notes”). The Notes require monthly interest-only payments at 10% per annum. The Notes mature at various dates from August 2023 to December 2024 as follows: August 2023 - $500,000; January 2024 - $125,000; and December 2024 - $200,000.</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79" w:name="page80"/>
    <w:bookmarkEnd w:id="79"/>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15, 2021, the Company modified another shareholder Note in the amount of $250,000 to be a convertible note for the same amount. The shareholder also invested additional proceeds of $24,000 for a total convertible note of $274,000. The convertible note included detachable warrants to purchase 548,000 shares of the Company’s common stock. The convertible note bore interest at a rate of 10% per annum, had an initial maturity of two years from date of issue, and was convertible at $0.50 per share. The modification resulted in a new effective annual interest rate of 9.15%. There was no accounting impact to the financial statements related to these modifications. On October 29, 2021, concurrent with the anticipated conversion from an LLC to a C corporation, the convertible note and warrants were modified under a Convertible Debenture Exercise and Waiver and Release Agreement and the shareholder agreed to convert the note and accrued interest into 236,498 shares of common stock resulting in a conversion price of $1.21 per share (see Note 9 –Convertible Notes).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paid to the shareholders under the Notes totaled $82,508 and $92,007 during the years ended December 31,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accrued interest as of December 31, 2022 or 2021 related to these Notes.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9.</w:t>
      </w:r>
      <w:r>
        <w:rPr>
          <w:sz w:val="20"/>
          <w:szCs w:val="20"/>
          <w:color w:val="auto"/>
        </w:rPr>
        <w:tab/>
      </w:r>
      <w:r>
        <w:rPr>
          <w:rFonts w:ascii="Times New Roman" w:cs="Times New Roman" w:eastAsia="Times New Roman" w:hAnsi="Times New Roman"/>
          <w:sz w:val="17"/>
          <w:szCs w:val="17"/>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Convertible Notes – Converted January 1, 2021</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2021, convertible debt holders were offered the opportunity for early conversion of their convertible notes into Class B LLC member units. Three of the four convertible note holders converted notes with a principal balance of $170,000 and accrued interest of $3,157 into 2,338 Class B member units (the equivalent of 59,515 shares of common stock) at per unit conversion prices ranging from $67 - $76 (per share prices ranging from $2.66 - $3.00). In accordance with FASB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the fair value of the additional units issued under the induced conversion over the value of the number of units issuable under the original terms of the convertible note agreements is recognized as debt conversion expense. Accordingly, upon early conversion on January 1, 2021, the Company recognized $112,133 of debt conversion expense with a corresponding entry to equity of $285,290 consisting of the $173,157 of principal and accrued interest converted and the excess fair value of $112,133.</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fourth convertible note holder opted out of the early conversion and instead, the original note with a principal balance of $100,000 was modified into a term loan effective January 1, 2021 (see Note 7 – Long Term Debt). The modification included the elimination of the conversion feature, an increase in the interest rate from the original 6% per annum to 10% per annum, to be paid monthly instead of accrued, and an earlier maturity date of December 31, 2021. The modification resulted in a new effective annual interest rate of 9.58%, and a revised one-year maturity on December 31, 2021 (see Note 6 –Short-Term Revolving Loans). There was no accounting impact to the financial statements related to this modification. The note was paid in full in April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Notes/Extinguishment Loss on Debt Settlement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May to September 2021, the Company received gross proceeds of $2,929,000 from the issuance of unsecured convertible notes (the “Notes”), of which $44,000 was received from existing shareholders. Of the total proceeds, $1,820,000 was received during the three months ended September 30, 2021. Additionally, in May 2021, a shareholder converted a promissory note to a convertible note identical in terms discussed below (see Note 8 – Shareholder Promissory Notes).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the option of the Note holders and after the completion of a merger with a Special Purpose Acquisition Company (“SPAC”) or an Initial Public Offering (“IPO”), the holder could convert all or a part of the outstanding principal and accrued interest into shares of common stock of the merged or public company. The Notes included detachable warrants (“Warrants”) to purchase 3,862,000 shares of the merged or public company. The Notes bore interest at a rate of 10% per annum, had an initial maturity of two years from date of issue, and were convertible at per-share prices ranging from $0.50 to $2.50. Effective January 1, 2021, the Company early adopted ASU 2020-06, and accordingly, no beneficial conversion features were recognized. The Notes were accounted for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(“ASC 470-20”) and ASC 815-40, </w:t>
      </w:r>
      <w:r>
        <w:rPr>
          <w:rFonts w:ascii="Times New Roman" w:cs="Times New Roman" w:eastAsia="Times New Roman" w:hAnsi="Times New Roman"/>
          <w:sz w:val="18"/>
          <w:szCs w:val="18"/>
          <w:i w:val="1"/>
          <w:iCs w:val="1"/>
          <w:color w:val="auto"/>
        </w:rPr>
        <w:t>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(“ASC 815-40”)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ASC 815-40, to qualify for equity classification (or nonbifurcation, if embedded) the instrument (or embedded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both (1) indexed to the issuer’s stock and (2) meet the requirements of the equity classification guidance. Based upon the Company’s analysis, it was determined the Notes do contain embedded features indexed to its own stock, but do not meet the requirements for bifurcation and recognition as derivatives, and therefore do not need to be separately recognized. Accordingly, the proceeds received from the issuance of the Notes were recorded as a single liability measured at amortized cost on the consolidated Balance Sheet. The Company incurred $148,000 of debt issuance costs relating to the issuance of the Notes, which were recorded as a reduction to the Notes on the Balance Sheet. The debt issuance costs were being amortized and recognized as additional interest expense over the term of the Notes using the straight-line method because it is not substantially different from the effective interest rate. Amortization of debt discount totaled $27,271 through the effective date of the conversion from LLC to a C corporation. Since the Warrants were not exercisable until a merger with a SPAC or an IPO, there was no impact on the financial statements at date of grant.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29, 2021, in anticipation of conversion from LLC to a C corporation, the Notes and Warrants were modified under Convertible Debenture Exercise and Waiver and Release Agreements with the individual creditors. The Note holders agreed to settle the debt for an aggregate of 1,527,647 shares of common stock with a fair value of $5,545,359 ($3.63 per share). Since this transaction involved contemporaneous issuance of shares of common stock by the Company to the Note holders, the Company evaluated the transaction for modification and extinguishment accounting and determined that the debt was extinguished as a result of the issuance of shares that do not represent the exercise of a conversion right contained in the original terms of the Notes at issuance.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settlement of the debt resulted in a recognized loss of $2,262,658 recorded as extinguishment loss on debt settlement in November 2021, calculated as the excess of the fair value of shares issued over the carrying amount of the debt. In addition, the fair value of warrants of $407,700 issued in exchange for services related to the extinguished debt (see Note 12 – Stockholders’ Equity) and the unamortized portion of debt discount remaining at date of settlement of $120,729 were also recorded as extinguishment loss on debt settlement for an aggregate loss of $2,791,087.</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10.</w:t>
      </w:r>
      <w:r>
        <w:rPr>
          <w:sz w:val="20"/>
          <w:szCs w:val="20"/>
          <w:color w:val="auto"/>
        </w:rPr>
        <w:tab/>
      </w:r>
      <w:r>
        <w:rPr>
          <w:rFonts w:ascii="Times New Roman" w:cs="Times New Roman" w:eastAsia="Times New Roman" w:hAnsi="Times New Roman"/>
          <w:sz w:val="17"/>
          <w:szCs w:val="17"/>
          <w:b w:val="1"/>
          <w:bCs w:val="1"/>
          <w:i w:val="1"/>
          <w:i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its warehouses and office space under long-term lease arrangements. None of its leases include characteristics specified 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that require classification as financing leases, and accordingly, these leases are accounted for as operating leases. The Company does not recognize a right-of-use asset and lease liability for short term leases, which have terms of 12 months or less. For longer-term lease arrangements that are recognized on the Company’s Balance Sheet, the right-of-use asset and lease liability are initially measured at the commencement date based upon the present values of the lease payments due under the leases.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the arrangement. Under ASC 842, the incremental borrowing rate (IBR) for leases must be (1) a rate of interest over a similar term, and (2) for an amount that is equal to the lease payments. The Company uses both the Federal Reserve Economic Data (FRED) U.S. corporate debt effective yield and the U.S. Treasury rates adjusted for credit spread as the primary data points for purposes of determining the IBR.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the Company entered into two new long-term, non-cancelable operating lease agreements for office and warehouse space resulting in the Company recognizing an additional lease liability totaling of $2,348,509, representing the present value of the lease payments discounted using an effective interest rate of 8.07% and 8.86%, and corresponding right-of-use assets of $2,348,509. The leases expire in December 2026 and December 2028. The second lease contains one three-year option to renew. The lease is guaranteed by a co-founder.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2021, the Company entered into a long-term, non-cancelable operating lease agreement for office and warehouse space resulting in the Company recognizing an additional lease liability totaling of $1,268,089, representing the present value of the lease payments discounted using an effective interest rate of 7.47% and a corresponding right-of-use asset of $1,268,089. The lease expires in January 2028 and contains one three-year option to renew. The lease is guaranteed by a co-founder.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other leases that expire in January 2023 and February 2025. The leases generally provide for annual increases based on a fixed amount and generally require the Company to pay real estate taxes, insurance, and repairs. Both leases are guaranteed by a co-founder.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lease costs for the years ending December 31, 2022 and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760,743</w:t>
            </w:r>
          </w:p>
        </w:tc>
        <w:tc>
          <w:tcPr>
            <w:tcW w:w="10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304,082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3,527</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4,846</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(123,386)</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(75,061)</w:t>
            </w:r>
          </w:p>
        </w:tc>
      </w:tr>
      <w:tr>
        <w:trPr>
          <w:trHeight w:val="209"/>
        </w:trPr>
        <w:tc>
          <w:tcPr>
            <w:tcW w:w="44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640,884</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was 5.49 years and 5.64 years as of December 31, 2022 and 2021, respectively. The weighted average discount rate was 8.48% and 8.02%, as of December 31, 2022 and 2021, respectively. Operating cash flows from the operating leases totaled $440,139 and $177,688 for the years ended December 31, 2022 and 2021,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lease liability as of December 31, 2022 and 2021 was $3,220,019 and $1,311,649, respectively.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liabilities as of December 31, 2022, for years ending December 31: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719,220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Pr>
          <w:p>
            <w:pPr>
              <w:spacing w:after="0"/>
              <w:rPr>
                <w:sz w:val="18"/>
                <w:szCs w:val="18"/>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727,709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718,157</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732,061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694,040</w:t>
            </w: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471,736</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4,062,923</w:t>
            </w: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(842,904)</w:t>
            </w: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3,220,019</w:t>
            </w:r>
          </w:p>
        </w:tc>
      </w:tr>
      <w:tr>
        <w:trPr>
          <w:trHeight w:val="216"/>
        </w:trPr>
        <w:tc>
          <w:tcPr>
            <w:tcW w:w="8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465,055</w:t>
            </w: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7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2,754,964</w:t>
            </w: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3,220,019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subleases office and warehouse space under three of its existing operating leases with similar terms as the Company’s lease agreements. Because the Company is not relieved of its primary obligations under the original lease, the Company accounts for the subleases as a lessor. Sublease rental income is recorded based on the contractual rental payments which are not substantially different from recognition on a straight-line basis over the lease term and totaled $123,386 and $75,061 during the years ended December 31, 2022 and 2021, respectively. As of December 31, 2022 and 2021, deferred income and a sublease deposit totaled $14,168 and $13,690, respectively, and is included in accrued expenses and other current liabilities on the accompanying Balance Sheets.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are the total future minimum sublease payments as of December 31, 2022:</w:t>
            </w: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958"/>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36,242</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6,070</w:t>
            </w: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88,459</w:t>
            </w:r>
          </w:p>
        </w:tc>
      </w:tr>
      <w:tr>
        <w:trPr>
          <w:trHeight w:val="20"/>
        </w:trPr>
        <w:tc>
          <w:tcPr>
            <w:tcW w:w="8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may be involved from time to time in litigation or claims arising in the ordinary course of its business. While the ultimate liability, if any, arising from these claims cannot be determined with certainty, the Company believes that the resolution of any such matters will not likely have a material adverse effect on the Company’s financial statements.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November 22, 2022, Expion360 Inc. (the “Company”) received notice of a complaint (the “Complaint”) filed against it in Oregon state court by Ravi Sinha. The Complaint alleges,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Mr. Sinha is entitled to 282,284 shares of the Company’s common stock, or in the alternative, $300,000 plus interest in connection with services he previously rendered the Company as its chief executive officer. On March 21, 2023, the Company entered into a settlement agreement with Mr. Sinha and the matter has been resolved.</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11.</w:t>
        <w:tab/>
        <w:t>Conversion to a C Corporation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November 1, 2021, the Company converted from an LLC to a C corporation under the State of Nevada statutes in anticipation of an upcoming initial public offering, and changed its name to Expion360 Inc. The membership units of the existing LLC members and all existing convertible note holders (see Note 9 - Convertible Notes) converted into an aggregate of 4,181,111 shares of common stock. Additionally, investors purchased 88,889 shares of common stock for total proceeds of $316,400, and 30,000 shares of common stock were issued in exchange for legal services. The 30,000 shares issued in exchange for legal services were valued at $108,900 at date of grant based on the per share price of $3.63 paid for shares issued at the time of the conversion to a C corporation. The Company’s issued and outstanding shares of common stock totaled 4,300,000 upon conversion to a C corporation.</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Stockholders’ Equity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an aggregate of 220,000,000 shares of capital stock, par value $0.001 per share, consisting of 200,000,000 shares of common stock and 20,000,000 shares of preferred stock. As of December 31, 2022 and December 31, 2021, 6,802,464 and 4,300,000 shares, respectively, of common stock were issued and outstanding. No shares of preferred stock have been issued.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holder of common stock is entitled to one vote for each share of common stock. The holders of common stock have no conversion, redemption or preemptive rights and shall be entitled to receive dividends when, as, and if declared by the board of directors. Upon dissolution, liquidation, or winding up of the Company, after payment or provision for payment of debts and other liabilities of the Company, subject to the rights, if any, of the holders of any class or series stock having a preference over the right to participate with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of common stock held.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no shares of preferred stock have been issued, no rights and privileges of preferred stockholders have been defined.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 2022, the Company completed an initial public offering (“IPO”). A total of 2,466,750 shares of common stock were sold at $7.00 per share in the IPO, for total gross proceeds of $17,267,250. The Company incurred IPO costs of $2,494,763 resulting in net proceeds of $14,772,487. Additionally, during the year ended December 31, 2022, the Company issued 35,714 shares of common stock at $7.00 per share to an outside third party in exchange for IPO services. The fair value of the shares of $249,998 were recorded as an increase to common stock of $36 (35,714 shares at $.001 par value) and additional paid in capital of $249,962 and a corresponding reduction to additional paid in capital of $249,998, resulting in a net decrease in additional paid in capital of $36.</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Issuance of Shares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Prior to conversion from an LLC to a C corporation, the following membership units were issued and included in the membership units that were converted into 4,181,111 shares of common stock upon the Company’s conversion to a C corporation (see Note 11 – Conversion to a C corporation).</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8,000 membership units (equivalent to 192,234 shares) that were held in Trust were granted to three individuals.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the Company issued 2,338 Class B member units (equivalent to 59,515 shares of common stock) upon the conversion of convertible notes and accrued interest totaling $173,157 (see Note 9 - Convertible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the Company issued 262 Class B membership units (equivalent to 6,667 shares of common stock) in exchange for building signage valued at $20,000.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the Company sold 3,185 Class B membership units (equivalent to 81,106 shares of common stock) to two new members for gross proceeds of $270,000.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company sold 2,972 Class B membership units (equivalent to 75,662 shares of common stock) to one new member for gross proceeds of $252,000.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Warrants/Options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 2022, the Company issued warrants to IPO underwriters to purchase 148,005 shares of common stock at an exercise price of $9.10 per share. The warrants are exercisable 180 days after grant (September 27, 2022) and expire 5 years from date of grant (March 31, 2027). The fair value of the warrants was determined at date of issuance using the Black-Scholes option-pricing model and the following assumptions: per share price of common stock on date of grant of $7, expected dividend yield of 0%, expected volatility of 110.03%, risk-free interest rate of 2.55% and expected life based on contractual life of 5 years. The fair value of $916,238 was recorded as an increase in additional-paid-in capital and a reduction to additional paid-in capital since the warrants were issued as IPO fees to underwriters, resulting in a zero impact to additional paid-in capital.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2021, the Company issued 482,268 detachable warrants with secured promissory notes (see Note 7 – Long-Term Debt) for the purchase of common stock. The relative fair value of the warrants of $809,806 at the time of issuance was recorded as additional paid-in capital with a corresponding debt discount reducing the carrying value of the notes. Additionally, the Company issued 77,163 warrants to purchase shares of common stock to underwriters in connection with obtaining the notes. The fair value of the warrants of $262,354 was recorded as additional paid-in capital and reduced the carrying value of the notes. The warrants are exercisable at $3.32 per share for a period of 10 years from date of grant. The fair value of the warrants was determined at date of issuance using the Black-Scholes option-pricing model and the following assumptions: per share price of common stock on date of grant of $3.63, expected dividend yield of 0%, expected volatility of 110.8%, risk-free interest rate of 1.63% and expected life based on contractual life of 10 years.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in November 2021, the Company issued warrants to purchase 151,000 shares of common stock in in exchange for prior services related to extinguished 2021 convertible notes and 30,000 options for the purchase of common stock in exchange for legal services. The warrants are exercisable at $2.90 per share for a period of three years from the date of grant. The options are exercisable at $3.32 per share for a period of three years from the date of grant. The options issued were not issued under the Company’s stock option plans. The fair value of the warrants of $407,700 was recorded as additional paid-in-capital and expensed to extinguishment loss on debt settlement (see Note 9 – Convertible Notes). The fair value of the options of $79,200 was recorded as additional paid-in capital with a corresponding charge to legal expense. The fair value of the warrants and options was determined at date of issuance using the Black-Scholes option-pricing model and the following assumptions: per share price of common stock on date of grant of $3.63, expected dividend yield of 0%, expected volatility of 122.7%, risk-free interest rate of 0.71% and expected life based on contractual life of three years.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4" w:name="page85"/>
    <w:bookmarkEnd w:id="8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a total of 858,436 and 710,431 warrants were issued and outstanding, respectively. As of December 31, 2022 and December 31, 2021, a total of 30,000 options, which were not issued under a specified plan, were outstanding. As of December 31, 2022, below is a summary of the various warrants/options issued and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Number of warrants/non-plan options</w:t>
            </w:r>
          </w:p>
        </w:tc>
        <w:tc>
          <w:tcPr>
            <w:tcW w:w="25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6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Weighted Average Remaining Life (Yrs)</w:t>
            </w:r>
          </w:p>
        </w:tc>
      </w:tr>
      <w:tr>
        <w:trPr>
          <w:trHeight w:val="209"/>
        </w:trPr>
        <w:tc>
          <w:tcPr>
            <w:tcW w:w="50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559,431</w:t>
            </w:r>
          </w:p>
        </w:tc>
        <w:tc>
          <w:tcPr>
            <w:tcW w:w="25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$3.32</w:t>
            </w:r>
          </w:p>
        </w:tc>
        <w:tc>
          <w:tcPr>
            <w:tcW w:w="36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5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151,000</w:t>
            </w:r>
          </w:p>
        </w:tc>
        <w:tc>
          <w:tcPr>
            <w:tcW w:w="25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$2.90</w:t>
            </w:r>
          </w:p>
        </w:tc>
        <w:tc>
          <w:tcPr>
            <w:tcW w:w="36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0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30,000</w:t>
            </w:r>
          </w:p>
        </w:tc>
        <w:tc>
          <w:tcPr>
            <w:tcW w:w="25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$3.32</w:t>
            </w:r>
          </w:p>
        </w:tc>
        <w:tc>
          <w:tcPr>
            <w:tcW w:w="36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0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148,005</w:t>
            </w:r>
          </w:p>
        </w:tc>
        <w:tc>
          <w:tcPr>
            <w:tcW w:w="25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$9.10</w:t>
            </w:r>
          </w:p>
        </w:tc>
        <w:tc>
          <w:tcPr>
            <w:tcW w:w="36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4.25</w:t>
            </w:r>
          </w:p>
        </w:tc>
      </w:tr>
      <w:tr>
        <w:trPr>
          <w:trHeight w:val="210"/>
        </w:trPr>
        <w:tc>
          <w:tcPr>
            <w:tcW w:w="50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888,436</w:t>
            </w:r>
          </w:p>
        </w:tc>
        <w:tc>
          <w:tcPr>
            <w:tcW w:w="25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adopted two stock-based compensation plans, the 2021 Incentive Award Plan and the 2021 Employee Stock Purchase Plan, both of which are described below and became effective upon the initial public offering. On May 2, 2022, the Company granted 829,500 options under the 2021 Incentive Award Plan. No shares have been issued to date under the 2021 Employee Stock Purchase Plan. The compensation cost that has been charged against operations was $2,114,529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Incentive Award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the Company’s 2021 Incentive Award Plan is to enhance the Company’s ability to attract, retain and motivate persons who make (or are expected to make) important contributions to the Company by providing these individuals with equity ownership opportunities. Various stock-based awards may be granted under the plan to eligible employees, consultants, and non-employee directors. The number of shares issued under the plan is subject to limits and is adjusted annually. No more than 1,000,000 shares may be issued pursuant to the exercise of incentive stock options. The aggregate share limit will be subject to an annual increase on the first day of each calendar year ending on and including January 1, 2031, by a number of shares equal to the lesser of (i) a number equal to 5% of the aggregate number of shares of the Company's common stock outstanding on the final day of the immediately preceding calendar year and (ii) such smaller number of shares as is determined by the Company's board or committee. As of December 31, 2022, the aggregate number of shares that can be issued under the Plan is 859,500 of which 829,500 have been granted. The number of shares granted, the exercise price, and the terms will be determined at date of grant, however, the exercise price shall not be less than 100% of the fair value on the grant date (110% for options granted to greater than 10% shareholders) and the term shall not exceed ten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Employee Stock Purchase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the Company’s 2021 Employee Stock Purchase Plan is to assist eligible employees of the Company in acquiring a stock ownership in the Company and to help such employees provide for their future security and to encourage them to remain in the employment of the Company. The plan consists of a Section 423 Component and Non-Section 423 Component. The Section 423 Component is intended to qualify as an employee stock purchase plan and also authorizes the grant of options. Options granted under the Non-Section 423 Component shall be granted pursuant to separate offerings containing sub-plans. The Company may make one or more offerings under the plan. The duration and timing of each offering period may be established or changed by the board, but in no event may an offering period exceed 27 months and in no event may the purchase period for the option exceed the duration of the offering period under which it is established. On each exercise date for an offering period, each participant shall automatically be deemed to have exercised the option to purchase the largest number of whole shares which can be purchased under the offering. Option awards are generally granted with an exercise price equal to 85% of the lesser of the fair market value of a share on (a) the applicable grant date and (b) the applicable exercise date, or such other price as designated by the administrator, provided that in no event shall the option price be less that the per share par value price. The maximum number of shares granted under the plan shall not exceed 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28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The option-pricing model requires a number of assumptions, of which the most significant are the expected stock price volatility and the expected option term. Expected volatility was calculated based upon similar traded companies’ historical share price movements as adequate historical experience is not available to provide a reasonable estimate.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have no foreseeable plans to pay dividends.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computed the fair value of all options granted during the year ended December 31, 2022 using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volatility</w:t>
            </w:r>
          </w:p>
        </w:tc>
        <w:tc>
          <w:tcPr>
            <w:tcW w:w="4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 - 113.32%</w:t>
            </w:r>
          </w:p>
        </w:tc>
      </w:tr>
      <w:tr>
        <w:trPr>
          <w:trHeight w:val="23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dividends</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5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term (in years)</w:t>
            </w:r>
          </w:p>
        </w:tc>
        <w:tc>
          <w:tcPr>
            <w:tcW w:w="4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5.01</w:t>
            </w:r>
          </w:p>
        </w:tc>
      </w:tr>
      <w:tr>
        <w:trPr>
          <w:trHeight w:val="257"/>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Risk free rate</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 3.01%</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under the 2021 Incentive Plan:</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0"/>
        </w:trPr>
        <w:tc>
          <w:tcPr>
            <w:tcW w:w="5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74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1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7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number of options and per options data)</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value (1)</w:t>
            </w: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829,500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829,500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The aggregate intrinsic value of options outstanding and options exercisable as of December 31, 2022 is $0, as all options are out of the money.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during the nine months ended December 31, 2022 to employees and non-employees was $1,847,193 and $267,336, respectively. All options were immediately vested and there was no unrecognized compensation expense as of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common stock shares reserved for future issuance as of December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warrants</w:t>
            </w:r>
          </w:p>
        </w:tc>
        <w:tc>
          <w:tcPr>
            <w:tcW w:w="6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858,436</w:t>
            </w:r>
          </w:p>
        </w:tc>
      </w:tr>
      <w:tr>
        <w:trPr>
          <w:trHeight w:val="216"/>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options unrelated to any Plan</w:t>
            </w:r>
          </w:p>
        </w:tc>
        <w:tc>
          <w:tcPr>
            <w:tcW w:w="6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stock options – 2021 Incentive Award Plan</w:t>
            </w:r>
          </w:p>
        </w:tc>
        <w:tc>
          <w:tcPr>
            <w:tcW w:w="6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829,500</w:t>
            </w:r>
          </w:p>
        </w:tc>
      </w:tr>
      <w:tr>
        <w:trPr>
          <w:trHeight w:val="22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shares of common stock reserved for future issuances</w:t>
            </w:r>
          </w:p>
        </w:tc>
        <w:tc>
          <w:tcPr>
            <w:tcW w:w="400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1,717,936</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5"/>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F-25</w:t>
            </w:r>
          </w:p>
        </w:tc>
      </w:tr>
    </w:tbl>
    <w:p>
      <w:pPr>
        <w:sectPr>
          <w:pgSz w:w="11900" w:h="16838" w:orient="portrait"/>
          <w:cols w:equalWidth="0" w:num="1">
            <w:col w:w="11240"/>
          </w:cols>
          <w:pgMar w:left="320" w:top="796" w:right="339" w:bottom="1440" w:gutter="0" w:footer="0" w:header="0"/>
        </w:sectPr>
      </w:pPr>
    </w:p>
    <w:bookmarkStart w:id="86" w:name="page87"/>
    <w:bookmarkEnd w:id="86"/>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13.</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losses before income taxes for the year ended December 31, 2022 and for the two months ending December 31, 2021 were generated primarily from U.S.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current or deferred provision for income taxes from continuing operations for the years ended December 31, 2022 and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differences between the U.S. Federal statutory rate and our effective rate for financial reporting purposes are as follows:</w:t>
      </w:r>
    </w:p>
    <w:p>
      <w:pPr>
        <w:spacing w:after="0" w:line="200" w:lineRule="exact"/>
        <w:rPr>
          <w:sz w:val="20"/>
          <w:szCs w:val="20"/>
          <w:color w:val="auto"/>
        </w:rPr>
      </w:pPr>
    </w:p>
    <w:p>
      <w:pPr>
        <w:spacing w:after="0" w:line="26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Pr>
          <w:p>
            <w:pPr>
              <w:spacing w:after="0"/>
              <w:rPr>
                <w:sz w:val="18"/>
                <w:szCs w:val="18"/>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NQSO Comp – Other</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 Comp – Other</w:t>
            </w: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True-up Adjustment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19"/>
                <w:szCs w:val="19"/>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Borders>
              <w:top w:val="single" w:sz="8" w:color="auto"/>
              <w:bottom w:val="single" w:sz="8" w:color="auto"/>
            </w:tcBorders>
          </w:tcPr>
          <w:p>
            <w:pPr>
              <w:spacing w:after="0"/>
              <w:rPr>
                <w:sz w:val="19"/>
                <w:szCs w:val="19"/>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Franchise Fees</w:t>
            </w: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(8,850)</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9,300</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for the year ended December 31, 2022 and two months ended December 31,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income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1,719,889</w:t>
            </w: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151,797</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444,051</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150,524</w:t>
            </w: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424,675</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17,927</w:t>
            </w:r>
          </w:p>
        </w:tc>
      </w:tr>
      <w:tr>
        <w:trPr>
          <w:trHeight w:val="210"/>
        </w:trPr>
        <w:tc>
          <w:tcPr>
            <w:tcW w:w="4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2,588,615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(2,584,010)</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(297,815)</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(4,605)</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(22,433)</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the Company incurred losses for the year ended December 31, 2022 and December 31, 2021 and for each period since inception. Accordingly, no benefit for income taxes has been recorded due to the uncertainty of the realization of any tax assets. At December 31, 2022, the Company had approximately $6.56 million of federal and state net operating losses.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A reconciliation between the amount of income tax benefit determined by applying the U.S statutory income tax rate to pre-tax loss is as follows: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federal statutory rate</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(1,584,531)</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(746,778)</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(399,174)</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(59,202)</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491,727</w:t>
            </w:r>
          </w:p>
        </w:tc>
      </w:tr>
      <w:tr>
        <w:trPr>
          <w:trHeight w:val="210"/>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1,992,669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9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penalties and interest, for the year ended December 31, 2022 is zero.</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Oregon. There are no ongoing examinations by taxing authorities at this time. The Company’s various tax years 2017 through 2022 remain open for examination by various taxing jurisdictions.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As of December 31, 2022, the Company has not accrued any penalties or interest related to uncertain tax positions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the Company converted from a limited liability company to a C corporation, a taxable entity, effective November 1,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October 31, 2021, the Company was treated as an S corporation for federal and state income tax purposes, such that the Company’s taxable income is reported by members in their respective tax returns and the Company was only subject to state franchise taxes and fees. For the year ended December 31, 2022 the Company reversed the 2021 accrual of $9,300 and accrued only $450 for state income taxes, as we do not anticipate owing more than the minimum state income taxes for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converting to a C corporation, the Company has incurred losses and consequently recorded no provision for state or federal income taxes for the year ended December 31, 2022. The Company maintains a full valuation allowance on all deferred tax assets, as it has concluded that it is more likely than not that these assets will not be realized. As of December 31, 2022 and December 31, 2021, there were no material unrecognized tax benefits included in the accompanying balance sheets that would, if recognized, affect the effective tax rate.</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14.</w:t>
      </w:r>
      <w:r>
        <w:rPr>
          <w:sz w:val="20"/>
          <w:szCs w:val="20"/>
          <w:color w:val="auto"/>
        </w:rPr>
        <w:tab/>
      </w:r>
      <w:r>
        <w:rPr>
          <w:rFonts w:ascii="Times New Roman" w:cs="Times New Roman" w:eastAsia="Times New Roman" w:hAnsi="Times New Roman"/>
          <w:sz w:val="17"/>
          <w:szCs w:val="17"/>
          <w:b w:val="1"/>
          <w:bCs w:val="1"/>
          <w:i w:val="1"/>
          <w:iCs w:val="1"/>
          <w:color w:val="auto"/>
        </w:rPr>
        <w:t>401(k)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a 401(k) Plan (“Plan”) for the benefit of its employees. Employees may contribute to the Plan within defined limits as defined by the Internal Revenue Service. Substantially all employees are eligible to participate. The Company has the option to make profit sharing contributions at its discretion. No profit-sharing contributions have been made.</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15.</w:t>
      </w:r>
      <w:r>
        <w:rPr>
          <w:sz w:val="20"/>
          <w:szCs w:val="20"/>
          <w:color w:val="auto"/>
        </w:rPr>
        <w:tab/>
      </w:r>
      <w:r>
        <w:rPr>
          <w:rFonts w:ascii="Times New Roman" w:cs="Times New Roman" w:eastAsia="Times New Roman" w:hAnsi="Times New Roman"/>
          <w:sz w:val="17"/>
          <w:szCs w:val="17"/>
          <w:b w:val="1"/>
          <w:bCs w:val="1"/>
          <w:i w:val="1"/>
          <w:iCs w:val="1"/>
          <w:color w:val="auto"/>
        </w:rPr>
        <w:t>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related party transactions consisted of Shareholder Promissory Notes (see Note 8 – Shareholder Promissory Notes).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related party transactions consisted of Accounts Payables liability to board members for 2022 board compensation in the amount of $100,000 and $0,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16.</w:t>
      </w:r>
      <w:r>
        <w:rPr>
          <w:sz w:val="20"/>
          <w:szCs w:val="20"/>
          <w:color w:val="auto"/>
        </w:rPr>
        <w:tab/>
      </w:r>
      <w:r>
        <w:rPr>
          <w:rFonts w:ascii="Times New Roman" w:cs="Times New Roman" w:eastAsia="Times New Roman" w:hAnsi="Times New Roman"/>
          <w:sz w:val="17"/>
          <w:szCs w:val="17"/>
          <w:b w:val="1"/>
          <w:bCs w:val="1"/>
          <w:i w:val="1"/>
          <w:iCs w:val="1"/>
          <w:color w:val="auto"/>
        </w:rPr>
        <w:t>Subsequent Events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date to which events occurring after December 31, 2022, the date of the most recent Balance Sheets, have been evaluated for possible adjustment to the financial statements or disclosures is March 27, 2023, which is the date the financial statements were issued.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11, 2023, the Company filed an 8-K related to a published press release announcing a new product, the AURA POWERCAP™.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20, 2023 the company paid off a note payable in the amount of $89,360.11 which included principal, interest and fees.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January 26, 2023, the Company made certain leadership changes. On January 30, 2023, the Company filed an 8-K related to a press release announcing these changes. On February 1, 2023, the Company filed an 8-K with the details of the leadership changes.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2023, the Company had 88,000 warrants exercised of which 73,000 were cashless resulting in 31,102 additional shares of common stock issued. The remaining 15,000 exercised shares were exercised for a total of $49,975 which included $175.00 in fees.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21, 2023, the Company entered into a settlement agreement with Ravi Sinha related to a complaint filed against the Company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Sinha in Oregon state court and the matter has been resolved.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ind w:left="10360"/>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SECURITIES EXCHANGE ACT OF 1934</w:t>
      </w:r>
    </w:p>
    <w:p>
      <w:pPr>
        <w:spacing w:after="0" w:line="20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Expion360 Inc. (the “Company,” “Expion360”, “we,” “us” or “our”) has one class of securities registered under Section 12 of the Securities Exchange Act of 1934, as amended: the Company’s common stock, par value $0.001 per share (the “Common Stock”)</w:t>
      </w:r>
    </w:p>
    <w:p>
      <w:pPr>
        <w:spacing w:after="0" w:line="10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of the rights of our capital stock and summarizes certain provisions of our certificate of incorporation and our bylaws. This summary does not purport to be complete and is qualified in its entirety by the provisions of our certificate of incorporation and bylaws, copies of which have been filed as exhibits to this Annual Report on Form 10-K, as well as to the applicable provisions of Nevada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$0.001 per share and 20,000,000 shares of preferred stock, par value $0.001 per share.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We currently do not have any shares of, or securities convertible into, preferred stock outstanding.</w:t>
      </w:r>
    </w:p>
    <w:p>
      <w:pPr>
        <w:spacing w:after="0" w:line="120"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$2.90 Warrants</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November 9, 2021, the Company issued warrants to purchase 151,000 of shares of the Company’s common stock with an exercise price of $2.90 per share (the “$2.90 Warrants”). The $2.90 Warrants are exercisable for a period of 3 years from date of grant. If holders of the $2.90 Warrants elect to exercise them on a cashless basis, they would pay the exercise price by surrendering their $2.90 Warrants for that number of shares of common stock equal to the quotient obtained by dividing (x) the difference between the “fair market value” (defined below) multiplied by the number of shares underlying such holder’s $2.90 Warrants and the exercise price multiplied by the number of shares underlying such holder’s $2.90 Warrants by (y) the fair market value. The “fair market value” shall mean the prior five-day average closing price of the common stock on the date on which the holder elects to exercise their $2.90 Warrants. The $2.90 Warrants have certain adjustment rights upon certain events.</w:t>
      </w:r>
    </w:p>
    <w:p>
      <w:pPr>
        <w:sectPr>
          <w:pgSz w:w="11900" w:h="16838" w:orient="portrait"/>
          <w:cols w:equalWidth="0" w:num="1">
            <w:col w:w="11240"/>
          </w:cols>
          <w:pgMar w:left="320" w:top="13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$3.32 Warrants</w:t>
      </w:r>
    </w:p>
    <w:p>
      <w:pPr>
        <w:spacing w:after="0" w:line="20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On November 22, 2021, the Company issued warrants to purchase 559,431 shares of the Company’s common stock at an exercise price of $3.32 per share (the “$3.32 Warrants”). The $3.32 Warrants are exercisable for a period of 10 years from date of grant. If holders of the $3.32 Warrants elect to exercise them on a cashless basis, they would pay the exercise price by surrendering their $3.32 Warrants for that number of shares of common stock equal to the quotient obtained by dividing (x) the difference between the “fair market value” (defined below) multiplied by the number of shares underlying such holder’s $3.32 Warrants and the exercise price multiplied by the number of shares underlying such holder’s $3.32 Warrants by (y) the fair market value. The “fair market value” shall mean the volume weighted average of the closing sales price of the common stock averaged over 20 consecutive trading days ending on the trading day prior to the date on which “fair market value” is determined. The $3.32 Warrants have certain adjustment rights upon certain events. The Company is required to cause a registration statement registering the resale of the shares of our common stock issuable upon exercise of the $3.32 Warrants to become effective in connection with its initial public offering. As of the date of this Annual Report on Form 10-K, the Company has an effective registration statement which satisfies this requirement.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 Warrants</w:t>
      </w:r>
    </w:p>
    <w:p>
      <w:pPr>
        <w:spacing w:after="0" w:line="21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Concurrent with the closing of the initial public offering, the Company issued warrants to purchase an aggregate of 128,700 shares of its common stock to Alexander Capital LP and Paulson Investment Company LLC (as apportioned in accordance with agreements amongst them), or their designees, at an exercise price of $9.10 per share (the “Underwriter Warrants”). The Underwriter Warrants are initially exercisable on September 27, 2022 and expire on March 31, 2027.</w:t>
      </w:r>
    </w:p>
    <w:p>
      <w:pPr>
        <w:spacing w:after="0" w:line="11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If there is not an effective registration statement registering the resale of the shares of common stock issuable upon exercise of the Underwriter Warrants, holders of the Underwriter Warrants may elect to exercise them on a cashless basis and pay the exercise price by surrendering their Underwriter Warrants for that number of shares of common stock equal to the quotient obtained by dividing (x) the product of the number of shares of common stock underlying the Underwriter Warrants, multiplied by the difference between (i) the daily volume weighted average price of the common stock on the trading day immediately preceding the date of the exercise notice or on the date of the exercise notice (if delivered after regular trading hours) and (ii) the exercise price of the Underwriter Warrants and by (y) the daily volume weighted average price of the common stock on the trading day immediately preceding the date of the exercise notice or on the date of the exercise notice (if delivered after regular trading hours). If the Company does not deliver common stock to a holder upon such holder’s exercise of their Underwriter Warrants in compliance with the timing set out in the Underwriter Warrants, the Company will have to pay cash to such holder in accordance with the terms of the Underwriter Warrants. The Underwriter Warrants include anti-dilution provisions (for stock dividends, splits and recapitalizations and similar transactions), which results in the adjustment of the exercise price and entitles holders of the Underwriter Warrants to participate in subsequent rights offerings or distributions to holders of the Company’s common stock, as applicable. The Underwriter Warrants also have certain adjustment rights upon certain events. Further, the Underwriter Warrants provide for a one-time demand registration right, exercisable until March 31, 2027 and unlimited piggyback rights, exercisable until September 27,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2"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Prior to our initial public offering, we issued options to purchase 30,000 shares of common stock granted to one individual which had an exercise price of $3.32.</w:t>
      </w:r>
    </w:p>
    <w:p>
      <w:pPr>
        <w:sectPr>
          <w:pgSz w:w="11900" w:h="16838" w:orient="portrait"/>
          <w:cols w:equalWidth="0" w:num="1">
            <w:col w:w="11240"/>
          </w:cols>
          <w:pgMar w:left="320" w:top="73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Charter Documents</w:t>
      </w:r>
    </w:p>
    <w:p>
      <w:pPr>
        <w:spacing w:after="0" w:line="21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Law</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3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Articles of Incorporation include a mandatory forum provision that, to the fullest extent permitted by law, the Nevada Eighth Judicial District of Clark County Nevada shall be the sole and exclusive forum for (a) any derivative action or proceeding brought in the name or right of the Company or on its behalf, (b) any action asserting a claim for breach of any fiduciary duty owed by any director, officer, employee or agent of the Company to the Company or the Company's stockholders, (c) any action arising or asserting a claim arising pursuant to any provision of NRS Chapters 78 or 92Aor any provision of the Articles of Incorporation or Bylaws, (d) any action to interpret, apply, enforce or determine the validity of the Articles of Incorporation or Bylaws or (e)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rules and regulations thereunder and would preempt the choice of forum provisions in our Articles of Incorporation with respect to such matters.</w:t>
      </w:r>
    </w:p>
    <w:p>
      <w:pPr>
        <w:spacing w:after="0" w:line="14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3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2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sectPr>
          <w:pgSz w:w="11900" w:h="16838" w:orient="portrait"/>
          <w:cols w:equalWidth="0" w:num="1">
            <w:col w:w="11240"/>
          </w:cols>
          <w:pgMar w:left="320" w:top="482" w:right="339" w:bottom="1440" w:gutter="0" w:footer="0" w:header="0"/>
        </w:sectPr>
      </w:pPr>
    </w:p>
    <w:bookmarkStart w:id="92" w:name="page93"/>
    <w:bookmarkEnd w:id="92"/>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3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202"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1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November 2021, the Company issued senior secured promissory notes in aggregate principal amount of $1,600,000. The notes included detachable warrants to purchase 559,431 shares of common stock at an exercise price of $3.32 per share. The warrants are exercisable for a period of 10 years from date of grant. The related subscription agreement included an obligation by the Company to register the shares underlying these warrants upon the Company’s initial public offering. We expect to register the shares underlying these warrants by filing a separate registration statement with the SEC substantially concurrently with this offering.</w:t>
      </w:r>
    </w:p>
    <w:p>
      <w:pPr>
        <w:sectPr>
          <w:pgSz w:w="11900" w:h="16838" w:orient="portrait"/>
          <w:cols w:equalWidth="0" w:num="1">
            <w:col w:w="11240"/>
          </w:cols>
          <w:pgMar w:left="320" w:top="64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1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The transfer agent and registrar for our common shares is Pacific Stock Transfer Company. Pacific Stock Transfer Company’s address and phone number is: 6725 Via Austi Pkwy, Suite 300, Las Vegas, Nevada 89119; telephone number (800) 785-7782.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been traded on The Nasdaq Capital Market under the symbol “XPON” since April 1, 2022.</w:t>
      </w:r>
    </w:p>
    <w:p>
      <w:pPr>
        <w:sectPr>
          <w:pgSz w:w="11900" w:h="16838" w:orient="portrait"/>
          <w:cols w:equalWidth="0" w:num="1">
            <w:col w:w="11240"/>
          </w:cols>
          <w:pgMar w:left="320" w:top="482" w:right="339" w:bottom="1440" w:gutter="0" w:footer="0" w:header="0"/>
        </w:sectPr>
      </w:pPr>
    </w:p>
    <w:bookmarkStart w:id="94" w:name="page95"/>
    <w:bookmarkEnd w:id="94"/>
    <w:p>
      <w:pPr>
        <w:ind w:left="1022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WARRANT AND THE SECURITIES THAT MAY BE PURCHASED UPON THE EXERCISE OF THIS WARRANT HAVE BEEN ACQUIRED FOR INVESTMENT AND NOT FOR DISTRIBUTION, AND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b w:val="1"/>
          <w:bCs w:val="1"/>
          <w:color w:val="auto"/>
        </w:rPr>
        <w:t>”). SUCH SECURITIES MAY NOT BE OFFERED FOR SALE, SOLD, PLEDGED OR HYPOTHECATED, OR OTHERWISE TRANSFERRED UNLESS AND UNTIL REGISTRATION UNDER THE ACT OR AN EXEMPTION FROM THE REGISTRATION REQUIREMENTS OF THE ACT IS AVAILABLE FOR SUCH OFFER, SALE, PLEDGE, HYPOTHECATION, OR TRANSFER IN THE OPINION OF LEGAL COUNSEL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Issuance: __________, 2021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Amount: __________</w:t>
      </w:r>
    </w:p>
    <w:p>
      <w:pPr>
        <w:spacing w:after="0" w:line="211" w:lineRule="exact"/>
        <w:rPr>
          <w:sz w:val="20"/>
          <w:szCs w:val="20"/>
          <w:color w:val="auto"/>
        </w:rPr>
      </w:pPr>
    </w:p>
    <w:p>
      <w:pPr>
        <w:sectPr>
          <w:pgSz w:w="11900" w:h="16838" w:orient="portrait"/>
          <w:cols w:equalWidth="0" w:num="2">
            <w:col w:w="8180" w:space="720"/>
            <w:col w:w="2340"/>
          </w:cols>
          <w:pgMar w:left="320" w:top="117"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EXPION360 INC.</w:t>
      </w:r>
      <w:r>
        <w:rPr>
          <w:rFonts w:ascii="Times New Roman" w:cs="Times New Roman" w:eastAsia="Times New Roman" w:hAnsi="Times New Roman"/>
          <w:sz w:val="18"/>
          <w:szCs w:val="18"/>
          <w:color w:val="auto"/>
        </w:rPr>
        <w:t>, a Nevada corporation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for valid consideration received, hereby certifies that __________</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registered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assigns (in each case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is entitled pursuant to the terms of this warrant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subject to the terms set forth below, to purchase, prior to termination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hereof, up to ___________ duly authorized, validly issued, fully-paid and non-assessable shares of Common Stock</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at an exercise price of $2.90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Common Stock purchasable upon exercise of this Warrant, as adjusted from time to time pursuant to the terms of this Warrant, are hereinafter referred to as the </w:t>
      </w:r>
      <w:r>
        <w:rPr>
          <w:rFonts w:ascii="Times New Roman" w:cs="Times New Roman" w:eastAsia="Times New Roman" w:hAnsi="Times New Roman"/>
          <w:sz w:val="18"/>
          <w:szCs w:val="18"/>
          <w:b w:val="1"/>
          <w:bCs w:val="1"/>
          <w:color w:val="auto"/>
        </w:rPr>
        <w:t>“Warrant Stock</w:t>
      </w:r>
      <w:r>
        <w:rPr>
          <w:rFonts w:ascii="Times New Roman" w:cs="Times New Roman" w:eastAsia="Times New Roman" w:hAnsi="Times New Roman"/>
          <w:sz w:val="18"/>
          <w:szCs w:val="18"/>
          <w:color w:val="auto"/>
        </w:rPr>
        <w:t>.” This Warrant is issued pursuant to those services previously rendered by the Holder to the Company.</w:t>
      </w:r>
    </w:p>
    <w:p>
      <w:pPr>
        <w:spacing w:after="0" w:line="184" w:lineRule="exact"/>
        <w:rPr>
          <w:sz w:val="20"/>
          <w:szCs w:val="20"/>
          <w:color w:val="auto"/>
        </w:rPr>
      </w:pPr>
    </w:p>
    <w:p>
      <w:pPr>
        <w:ind w:left="1640" w:hanging="984"/>
        <w:spacing w:after="0"/>
        <w:tabs>
          <w:tab w:leader="none" w:pos="1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This Warrant may be exercised by Holder in whole or in part prior to termination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surrendering this Warrant, with the purchase form appended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completed in accordance with the instructions thereto and duly executed by such Holder or by such Holder’s duly authorized attorney, at the principal office of the Company, or at such other office or agency as the Company may designate, accompanied by payment in full by cash, check or wire transfer of all or such portion of the aggregate Purchase Price as is payable in respect of the number of shares of Warrant Stock purchased upon such exercise or through the exercise of the Conversion Right as described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below.</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w:t>
      </w:r>
      <w:r>
        <w:rPr>
          <w:rFonts w:ascii="Times New Roman" w:cs="Times New Roman" w:eastAsia="Times New Roman" w:hAnsi="Times New Roman"/>
          <w:sz w:val="18"/>
          <w:szCs w:val="18"/>
          <w:color w:val="auto"/>
        </w:rPr>
        <w:t>The exercise of this Warrant shall be deemed to have been effected immediately prior to the close of business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 on which this Warrant shall have been surrendered to the Company as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above. If Holder exercises this Warrant in connection with a merger or sale of the Company other than in connection with the conversion of the Company into a corporation through conversion, merger, or similar transaction in which the relative equity ownership percentages of the owners of the Company do not change (“</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Holder may designate that the exercise date be deemed the closing date of such Change of Control Transaction, and conditional upon the occurrence of such event.</w:t>
      </w:r>
    </w:p>
    <w:p>
      <w:pPr>
        <w:spacing w:after="0" w:line="182"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7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Convert Warrant; Net Issuance. </w:t>
      </w:r>
      <w:r>
        <w:rPr>
          <w:rFonts w:ascii="Times New Roman" w:cs="Times New Roman" w:eastAsia="Times New Roman" w:hAnsi="Times New Roman"/>
          <w:sz w:val="18"/>
          <w:szCs w:val="18"/>
          <w:color w:val="auto"/>
        </w:rPr>
        <w:t>In addition to and without limiting the rights of the Holder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this Warrant, but only to the extent this Warrant has not otherwise been exercised, the Holder shall have the right to convert this Warrant or any portion thereof (the </w:t>
      </w:r>
      <w:r>
        <w:rPr>
          <w:rFonts w:ascii="Times New Roman" w:cs="Times New Roman" w:eastAsia="Times New Roman" w:hAnsi="Times New Roman"/>
          <w:sz w:val="18"/>
          <w:szCs w:val="18"/>
          <w:b w:val="1"/>
          <w:bCs w:val="1"/>
          <w:color w:val="auto"/>
        </w:rPr>
        <w:t>“Conversion Right</w:t>
      </w:r>
      <w:r>
        <w:rPr>
          <w:rFonts w:ascii="Times New Roman" w:cs="Times New Roman" w:eastAsia="Times New Roman" w:hAnsi="Times New Roman"/>
          <w:sz w:val="18"/>
          <w:szCs w:val="18"/>
          <w:color w:val="auto"/>
        </w:rPr>
        <w:t xml:space="preserve">”) into Warrant Stock as provided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at any time or from time to time during the term of this Warrant. Upon exercise of the Conversion Right with respect to a particular number of shares of Warrant Stock set forth on the purchase form appended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“Converted Warrant Stock</w:t>
      </w:r>
      <w:r>
        <w:rPr>
          <w:rFonts w:ascii="Times New Roman" w:cs="Times New Roman" w:eastAsia="Times New Roman" w:hAnsi="Times New Roman"/>
          <w:sz w:val="18"/>
          <w:szCs w:val="18"/>
          <w:color w:val="auto"/>
        </w:rPr>
        <w:t>”), the Company shall deliver to the holder (without payment by the holder of any exercise price or any cash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consideration) (X) that number of shares of Warrant Stock equal to the quotient obtained by dividing the value of this Warrant (or the specified portion hereof) on the Conversion Date (as defined in subsection (ii) hereof), which value shall be determined by subtracting (A) the aggregate Purchase Price of the shares of Converted Warrant Stock immediately prior to the exercise of the Conversion Right from (B) the aggregate fair market value of the Converted Warrant Stock issuable upon exercise of this Warrant (or the specified portion hereof) on the Conversion Date (as hereinafter defined) by (Y) the fair market value of one share of Converted Warrant Stock on the Conversion Date (as hereinafter defined).</w:t>
      </w:r>
    </w:p>
    <w:p>
      <w:pPr>
        <w:sectPr>
          <w:pgSz w:w="11900" w:h="16838" w:orient="portrait"/>
          <w:cols w:equalWidth="0" w:num="1">
            <w:col w:w="11240"/>
          </w:cols>
          <w:pgMar w:left="320" w:top="117" w:right="339" w:bottom="1440" w:gutter="0" w:footer="0" w:header="0"/>
          <w:type w:val="continuous"/>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Expressed as a formula, such conversion shall be computed as follows:</w:t>
      </w:r>
    </w:p>
    <w:p>
      <w:pPr>
        <w:spacing w:after="0" w:line="2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xml:space="preserve">X = </w:t>
      </w:r>
      <w:r>
        <w:rPr>
          <w:sz w:val="1"/>
          <w:szCs w:val="1"/>
          <w:color w:val="auto"/>
        </w:rPr>
        <w:drawing>
          <wp:inline distT="0" distB="0" distL="0" distR="0">
            <wp:extent cx="231775" cy="2146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231775" cy="214630"/>
                    </a:xfrm>
                    <a:prstGeom prst="rect">
                      <a:avLst/>
                    </a:prstGeom>
                    <a:noFill/>
                    <a:ln>
                      <a:noFill/>
                    </a:ln>
                  </pic:spPr>
                </pic:pic>
              </a:graphicData>
            </a:graphic>
          </wp:inline>
        </w:drawing>
      </w:r>
    </w:p>
    <w:p>
      <w:pPr>
        <w:spacing w:after="0" w:line="213" w:lineRule="exact"/>
        <w:rPr>
          <w:sz w:val="20"/>
          <w:szCs w:val="20"/>
          <w:color w:val="auto"/>
        </w:rPr>
      </w:pPr>
    </w:p>
    <w:p>
      <w:pPr>
        <w:ind w:left="780"/>
        <w:spacing w:after="0"/>
        <w:tabs>
          <w:tab w:leader="none" w:pos="214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 = the number of shares of Warrant Stock that may be issued to Holder upon exercise of the Conversion Right</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Y = the Fair Market Value of one share of Warrant Stock</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 = the aggregate Purchase Price (the per share Purchase Price multiplied by the number of shares of Converted</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Warrant Stock)</w:t>
      </w:r>
    </w:p>
    <w:p>
      <w:pPr>
        <w:spacing w:after="0" w:line="2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B = the aggregate Fair Market Value (i.e., Fair Market Value multiplied by the number of shares of Converted</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Warrant Stock)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Warrant Stock shall be issuable upon exercise of the Conversion Right, and, if the number of shares of Warrant Stock to be issued determined in accordance with the foregoing formula is other than a whole number, the Company shall pay to the Holder an amount in cash equal to the Fair Market Value of the resulting fractional share of Warrant Stock on the Conversion Date.</w:t>
      </w:r>
    </w:p>
    <w:p>
      <w:pPr>
        <w:spacing w:after="0" w:line="174" w:lineRule="exact"/>
        <w:rPr>
          <w:sz w:val="20"/>
          <w:szCs w:val="20"/>
          <w:color w:val="auto"/>
        </w:rPr>
      </w:pPr>
    </w:p>
    <w:p>
      <w:pPr>
        <w:jc w:val="both"/>
        <w:ind w:left="-640" w:firstLine="1952"/>
        <w:spacing w:after="0" w:line="256" w:lineRule="auto"/>
        <w:tabs>
          <w:tab w:leader="none" w:pos="227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Exercise. </w:t>
      </w:r>
      <w:r>
        <w:rPr>
          <w:rFonts w:ascii="Times New Roman" w:cs="Times New Roman" w:eastAsia="Times New Roman" w:hAnsi="Times New Roman"/>
          <w:sz w:val="18"/>
          <w:szCs w:val="18"/>
          <w:color w:val="auto"/>
        </w:rPr>
        <w:t>The Conversion Right may be exercised by the Holder by the surrender of this Warrant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office of the Company together with a written statement specifying that the Holder thereby intends to exercise the Conversion Right and indicating the number of shares of Warrant Stock which are being surrendered (referred to in subsection (i) hereof as the Converted Warrant Stock) in exercise of the Conversion Right. Such conversion shall be effective upon receipt by the Company of this Warrant together with the aforesaid written statement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If the shares of Warrant Stock are certificated, then certificates for the Converted Warrant Stock issuable upon exercise of the Conversion Right shall be issued as of the Conversion Date and shall be delivered to the Holder within thirty (30) days following the Conversion Date.</w:t>
      </w:r>
    </w:p>
    <w:p>
      <w:pPr>
        <w:spacing w:after="0" w:line="180" w:lineRule="exact"/>
        <w:rPr>
          <w:rFonts w:ascii="Times New Roman" w:cs="Times New Roman" w:eastAsia="Times New Roman" w:hAnsi="Times New Roman"/>
          <w:sz w:val="18"/>
          <w:szCs w:val="18"/>
          <w:color w:val="auto"/>
        </w:rPr>
      </w:pPr>
    </w:p>
    <w:p>
      <w:pPr>
        <w:jc w:val="both"/>
        <w:ind w:left="-640" w:firstLine="1952"/>
        <w:spacing w:after="0" w:line="268" w:lineRule="auto"/>
        <w:tabs>
          <w:tab w:leader="none" w:pos="23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 of Fair Market Value. </w:t>
      </w:r>
      <w:r>
        <w:rPr>
          <w:rFonts w:ascii="Times New Roman" w:cs="Times New Roman" w:eastAsia="Times New Roman" w:hAnsi="Times New Roman"/>
          <w:sz w:val="18"/>
          <w:szCs w:val="18"/>
          <w:color w:val="auto"/>
        </w:rPr>
        <w:t>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is publicly traded, the prior five (5) day average closing price, on the day the Holder elects to exercise the Warrant. In the event the common stock is not publicly traded the fair market value shall be determined in good faith by an independent appraisal firm selected by the Holder.</w:t>
      </w:r>
    </w:p>
    <w:p>
      <w:pPr>
        <w:spacing w:after="0" w:line="172" w:lineRule="exact"/>
        <w:rPr>
          <w:rFonts w:ascii="Times New Roman" w:cs="Times New Roman" w:eastAsia="Times New Roman" w:hAnsi="Times New Roman"/>
          <w:sz w:val="18"/>
          <w:szCs w:val="18"/>
          <w:color w:val="auto"/>
        </w:rPr>
      </w:pPr>
    </w:p>
    <w:p>
      <w:pPr>
        <w:jc w:val="both"/>
        <w:ind w:left="-640" w:firstLine="1304"/>
        <w:spacing w:after="0" w:line="261" w:lineRule="auto"/>
        <w:tabs>
          <w:tab w:leader="none" w:pos="16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If the shares of Warrant Stock are certificated, then as soon as practicable after the exercise of this Warrant,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cause to be issued in the name of, and delivered to, Holder, or as such Holder may direct, a certificate or certificates for the number of shares of Warrant Stock to which such Holder shall be entitled. Issuance of certificates pursuant to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shall be made without charge to Holder for any issue or transfer tax or other incidental expenses, all of which taxes and expenses shall be paid by the Company.</w:t>
      </w:r>
    </w:p>
    <w:p>
      <w:pPr>
        <w:sectPr>
          <w:pgSz w:w="11900" w:h="16838" w:orient="portrait"/>
          <w:cols w:equalWidth="0" w:num="1">
            <w:col w:w="10600"/>
          </w:cols>
          <w:pgMar w:left="960" w:top="688" w:right="339" w:bottom="1440" w:gutter="0" w:footer="0" w:header="0"/>
        </w:sectPr>
      </w:pPr>
    </w:p>
    <w:bookmarkStart w:id="96" w:name="page97"/>
    <w:bookmarkEnd w:id="96"/>
    <w:p>
      <w:pPr>
        <w:ind w:left="-656" w:right="20" w:firstLine="1304"/>
        <w:spacing w:after="0" w:line="284" w:lineRule="auto"/>
        <w:tabs>
          <w:tab w:leader="none" w:pos="16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Each certificate or other records representing the Common Stock or for any other security issued or issuable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this Warrant shall bear the following legend:</w:t>
      </w:r>
    </w:p>
    <w:p>
      <w:pPr>
        <w:spacing w:after="0" w:line="160" w:lineRule="exact"/>
        <w:rPr>
          <w:sz w:val="20"/>
          <w:szCs w:val="20"/>
          <w:color w:val="auto"/>
        </w:rPr>
      </w:pPr>
    </w:p>
    <w:p>
      <w:pPr>
        <w:jc w:val="both"/>
        <w:ind w:left="624" w:right="1020"/>
        <w:spacing w:after="0" w:line="255" w:lineRule="auto"/>
        <w:rPr>
          <w:sz w:val="20"/>
          <w:szCs w:val="20"/>
          <w:color w:val="auto"/>
        </w:rPr>
      </w:pPr>
      <w:r>
        <w:rPr>
          <w:rFonts w:ascii="Times New Roman" w:cs="Times New Roman" w:eastAsia="Times New Roman" w:hAnsi="Times New Roman"/>
          <w:sz w:val="18"/>
          <w:szCs w:val="18"/>
          <w:color w:val="auto"/>
        </w:rPr>
        <w:t xml:space="preserve">“THE SECURITIES REPRESENTED HEREBY HAVE BEEN ACQUIRED FOR INVESTMENT AND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SUCH SECURITIES MAY NOT BE SOLD, PLEDGED OR OTHERWISE TRANSFERRED IN THE ABSENCE OF SUCH REGISTRATION UNLESS THE COMPANY RECEIVES AN OPINION OF COUNSEL REASONABLY ACCEPTABLE TO THE COMPANY STATING THAT SUCH SALE, PLEDGE OR TRANSFER IS EXEMPT FROM THE REGISTRATION AND PROSPECTUS DELIVERY REQUIREMENTS OF THE ACT UNLESS SOLD PURSUANT TO RULE 144 PROMULGATED UNDER THE ACT.”</w:t>
      </w:r>
    </w:p>
    <w:p>
      <w:pPr>
        <w:spacing w:after="0" w:line="187" w:lineRule="exact"/>
        <w:rPr>
          <w:sz w:val="20"/>
          <w:szCs w:val="20"/>
          <w:color w:val="auto"/>
        </w:rPr>
      </w:pPr>
    </w:p>
    <w:p>
      <w:pPr>
        <w:ind w:left="-656" w:firstLine="1304"/>
        <w:spacing w:after="0" w:line="284" w:lineRule="auto"/>
        <w:tabs>
          <w:tab w:leader="none" w:pos="17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of Common Stock. </w:t>
      </w:r>
      <w:r>
        <w:rPr>
          <w:rFonts w:ascii="Times New Roman" w:cs="Times New Roman" w:eastAsia="Times New Roman" w:hAnsi="Times New Roman"/>
          <w:sz w:val="18"/>
          <w:szCs w:val="18"/>
          <w:color w:val="auto"/>
        </w:rPr>
        <w:t>The Company covenants that the Common Stock, when issued pursuant to the exercise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will be duly and validly issued, fully paid and non-assessable and free from all taxes, liens and charges with respect to the issuance thereof.</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9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Upon Reorganization, Reclassification or Change of Control Transaction. </w:t>
      </w:r>
      <w:r>
        <w:rPr>
          <w:rFonts w:ascii="Times New Roman" w:cs="Times New Roman" w:eastAsia="Times New Roman" w:hAnsi="Times New Roman"/>
          <w:sz w:val="18"/>
          <w:szCs w:val="18"/>
          <w:color w:val="auto"/>
        </w:rPr>
        <w:t>In the event of any (i) capital reorganization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(ii) reclassification of the Capital Stock (other than a change in par value or from par value to no par value or from no par value to par value), including any distribution, dividend or subdivision, split-up or combination of shares of Capital Stock, (iii) Change of Control Transaction, or (iv) other similar transaction, in each case which entitles the holders of shares of Common Stock to receive (either directly or upon subsequent liquidation) stock, securities or assets with respect to or in exchange for shares of Common Stock, this Warrant shall, immediately after such reorganization, reclassification, Change of Control Transaction or similar transaction, remain outstanding and shall thereafter, in lieu of or in addition to (as the case may be) the number of shares of Warrant Stock then exercisable under this Warrant, be exercisable for the kind and number of shares of Capital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Change of Control Transaction or similar transaction and acquired the applicable number of shares of Warrant Stock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insure that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 shall thereafter be applicable, as nearly as possible, to this Warrant in relation to any shares of stock, securities or assets thereafter acquirable upon exercise of this Warrant (including, in the case of any Change of Control Transaction or similar transaction in which the successor or purchasing Person is other than the Company, an immediate adjustment to the number of shares of Warrant Stock then acquirable upon exercise of this Warrant without regard to any limitations or restrictions on exercise).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similarly apply to successive reorganizations, reclassifications, Change of Control Transactions or similar transactions. The Company shall not affect any such reorganization, reclassification, Change of Control Transaction or similar transaction unless, prior to the consummation thereof, the successor Person (if other than the Company) resulting from such reorganization, reclassification, Change of Control Transaction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 Notwithstanding anything to the contrary contained herein, with respect to any corporate event or other transaction contemplated by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Holder shall have the right to elect prior to the consummation of such event or transaction, to give effect to the exercise rights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instead of giving effect to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with respect to this Warrant</w:t>
      </w:r>
    </w:p>
    <w:p>
      <w:pPr>
        <w:sectPr>
          <w:pgSz w:w="11900" w:h="16838" w:orient="portrait"/>
          <w:cols w:equalWidth="0" w:num="1">
            <w:col w:w="10584"/>
          </w:cols>
          <w:pgMar w:left="976" w:top="686" w:right="339" w:bottom="1440" w:gutter="0" w:footer="0" w:header="0"/>
        </w:sectPr>
      </w:pPr>
    </w:p>
    <w:bookmarkStart w:id="97" w:name="page98"/>
    <w:bookmarkEnd w:id="97"/>
    <w:p>
      <w:pPr>
        <w:jc w:val="both"/>
        <w:ind w:firstLine="656"/>
        <w:spacing w:after="0" w:line="253" w:lineRule="auto"/>
        <w:tabs>
          <w:tab w:leader="none" w:pos="1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w:t>
      </w:r>
      <w:r>
        <w:rPr>
          <w:rFonts w:ascii="Times New Roman" w:cs="Times New Roman" w:eastAsia="Times New Roman" w:hAnsi="Times New Roman"/>
          <w:sz w:val="18"/>
          <w:szCs w:val="18"/>
          <w:color w:val="auto"/>
        </w:rPr>
        <w:t>The Holder of this Warrant acknowledges that this Warrant and the Warrant Stock have not been registered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and agrees not to offer for sale, sell, pledge, distribute, transfer or otherwise dispose of this Warrant and agrees not to offer for sale, sell, pledge, distribute, transfer or otherwise dispose of any Warrant Stock issued upon its exercise in the absence of (i) an effective registration statement under the Act as to this Warrant and the Warrant Stock and registration or qualification of under any applicable Blue Sky or state securities law then in effect, or (ii) an opinion of counsel, reasonably satisfactory to the Company, that such registration and qualification are not required;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opinion need be obtained with respect to a transfer to (A) a partner or member, active or retired, of Holder, (B) the estate of any such partner or member, (C) an “affiliate” of Holder as that term is defined in Rule 405 promulgated by the U.S. Securities and Exchange Commission under the Act, or (D) the spouse, children, grandchildren or spouse of such children or grandchildren of Holder or to trusts for the benefit of Holder or such Persons, in each case if the transferee agrees to be subject to the terms hereof. Notwithstanding the foregoing, any transferee receiving Warrant Stock that (A) have been registered under the Act or (B) are resalable under Rule 144 promulgated under the Act shall not be required to agree in writing to be subject to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No Impairment.</w:t>
      </w:r>
      <w:r>
        <w:rPr>
          <w:rFonts w:ascii="Times New Roman" w:cs="Times New Roman" w:eastAsia="Times New Roman" w:hAnsi="Times New Roman"/>
          <w:sz w:val="18"/>
          <w:szCs w:val="18"/>
          <w:color w:val="auto"/>
        </w:rPr>
        <w:t xml:space="preserve"> The Company will not, by amendment of its certificate of formation or operating agreement or through reorganization, consolidation, merger, dissolution, sale of assets or any other voluntary action, including the conversion of the Company into a corporation through a conversion, merger, or similar transaction in which the relative equity ownership percentages of the owners of the Company do not change, avoid or seek to avoid the observance or performance of any of the terms of this Warrant, but will at all times in good faith assist in the carrying out of all such terms and in the taking of all such action as may be reasonably necessary or appropriate in order to protect the rights of Holder of this Warrant against impairment.</w:t>
      </w:r>
    </w:p>
    <w:p>
      <w:pPr>
        <w:spacing w:after="0" w:line="200" w:lineRule="exact"/>
        <w:rPr>
          <w:sz w:val="20"/>
          <w:szCs w:val="20"/>
          <w:color w:val="auto"/>
        </w:rPr>
      </w:pPr>
    </w:p>
    <w:p>
      <w:pPr>
        <w:spacing w:after="0" w:line="204" w:lineRule="exact"/>
        <w:rPr>
          <w:sz w:val="20"/>
          <w:szCs w:val="20"/>
          <w:color w:val="auto"/>
        </w:rPr>
      </w:pPr>
    </w:p>
    <w:p>
      <w:pPr>
        <w:ind w:firstLine="656"/>
        <w:spacing w:after="0" w:line="284" w:lineRule="auto"/>
        <w:tabs>
          <w:tab w:leader="none" w:pos="19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This Warrant (and the right to purchase securities upon exercise hereof) shall terminate three (3) years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this Warrant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of Certain Transactions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makes any amendment to its Articles of Incorporation as filed in the state of Nevada;</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8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Company, any reclassification of the capital stock of the Company, any Change of Control Transaction, any other consolidation or merger of the Company with or into another entity, or any other transaction or series of related transactions pursuant to which the Company’s equity holders immediately prior thereto will possess a minority of the voting power of the surviving or acquiring entity immediately thereafter, or any transfer of all or substantially all of the assets of the Company; or</w:t>
      </w:r>
    </w:p>
    <w:p>
      <w:pPr>
        <w:sectPr>
          <w:pgSz w:w="11900" w:h="16838" w:orient="portrait"/>
          <w:cols w:equalWidth="0" w:num="1">
            <w:col w:w="11240"/>
          </w:cols>
          <w:pgMar w:left="320" w:top="686" w:right="339" w:bottom="1440" w:gutter="0" w:footer="0" w:header="0"/>
        </w:sectPr>
      </w:pPr>
    </w:p>
    <w:bookmarkStart w:id="98" w:name="page99"/>
    <w:bookmarkEnd w:id="98"/>
    <w:p>
      <w:pPr>
        <w:jc w:val="both"/>
        <w:ind w:left="-656" w:firstLine="1952"/>
        <w:spacing w:after="0" w:line="254" w:lineRule="auto"/>
        <w:tabs>
          <w:tab w:leader="none" w:pos="219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Company; then, and in each such case, the Company will send to Holder a notice specifying, as the case may be, (a) the date on which a record is to be taken for the purpose of such dividend, distribution or right, and stating the amount and character of such dividend, distribution or right, (b) a certified copy of the Company’s current certificate of formation, or (c) the effective date on which such reorganization, reclassification, consolidation, merger, transfer, Change of Control Transaction, dissolution, liquidation, winding-up, or redemption is to take place, and the time, if any is to be fixed, as of which Holders of record of shares of Common Stock (or such capital stock or securities at the time deliverable upon such reorganization, reclassification, consolidation, merger, transfer, dissolution, liquidation, winding-up, or redemption) shall be determined. Such notice shall be mailed at least twenty (20) days prior to the record date or effective date for the event specified in such notice.</w:t>
      </w:r>
    </w:p>
    <w:p>
      <w:pPr>
        <w:spacing w:after="0" w:line="191" w:lineRule="exact"/>
        <w:rPr>
          <w:rFonts w:ascii="Times New Roman" w:cs="Times New Roman" w:eastAsia="Times New Roman" w:hAnsi="Times New Roman"/>
          <w:sz w:val="18"/>
          <w:szCs w:val="18"/>
          <w:color w:val="auto"/>
        </w:rPr>
      </w:pPr>
    </w:p>
    <w:p>
      <w:pPr>
        <w:ind w:left="1584" w:hanging="936"/>
        <w:spacing w:after="0"/>
        <w:tabs>
          <w:tab w:leader="none" w:pos="15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notify the Holder of the Expiration Date of the Warrant.</w:t>
      </w:r>
    </w:p>
    <w:p>
      <w:pPr>
        <w:spacing w:after="0" w:line="223"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10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Reservation of Warrant Stock. </w:t>
      </w:r>
      <w:r>
        <w:rPr>
          <w:rFonts w:ascii="Times New Roman" w:cs="Times New Roman" w:eastAsia="Times New Roman" w:hAnsi="Times New Roman"/>
          <w:sz w:val="18"/>
          <w:szCs w:val="18"/>
          <w:color w:val="auto"/>
        </w:rPr>
        <w:t>The Company will at all times reserve and keep available, solely for the issuance and delivery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exercise of this Warrant, such shares of Common Stock and other equity securities or property, as from time to time shall be issuable upon the exercise of this Warrant. The Company covenants and agrees that all such shares of Common Stock or other equity securities that may be issued upon the exercise of the rights represented by this Warrant will, upon issuance, be duly authorized, validly issued, fully paid (assuming payment of the Purchase Price by Holder) and nonassessable and free from all preemptive rights and free of all taxes, liens and charges with respect to the issue thereof. The Company will take all such action as may be reasonably necessary to assure that such shares of Common Stock or other equity securities may be issued as provided herein without violation of any applicable law or regulation, or of any requirements of any domestic securities exchange upon which the securities of the Company may be listed;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shall not be required to effect a registration under Federal or state securities laws with respect to such exercise except as otherwise provided in the Subscription Agreement.</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0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 Warrants. </w:t>
      </w:r>
      <w:r>
        <w:rPr>
          <w:rFonts w:ascii="Times New Roman" w:cs="Times New Roman" w:eastAsia="Times New Roman" w:hAnsi="Times New Roman"/>
          <w:sz w:val="18"/>
          <w:szCs w:val="18"/>
          <w:color w:val="auto"/>
        </w:rPr>
        <w:t>Upon the surrender by Holder of any Warrant, properly endorsed, to the Company at the principal office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the Company will, 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hereof, issue and deliver to or upon the order of such Holder, at Holder’s expense, a new Warrant of like tenor, in the name of such Holder or as such Holder (upon payment by such Holder of any applicable transfer taxes) may direct, calling in the aggregate on the face or faces thereof for the number of shares of Common Stock or other equity securities called for on the face or faces of the Warrant so surrendered.</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3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Replacement of Warrants. </w:t>
      </w:r>
      <w:r>
        <w:rPr>
          <w:rFonts w:ascii="Times New Roman" w:cs="Times New Roman" w:eastAsia="Times New Roman" w:hAnsi="Times New Roman"/>
          <w:sz w:val="18"/>
          <w:szCs w:val="18"/>
          <w:color w:val="auto"/>
        </w:rPr>
        <w:t>Upon receipt of evidence reasonably satisfactory to the Company of the loss, theft, destruction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 at Holder’s expense.</w:t>
      </w:r>
    </w:p>
    <w:p>
      <w:pPr>
        <w:spacing w:after="0" w:line="179" w:lineRule="exact"/>
        <w:rPr>
          <w:rFonts w:ascii="Times New Roman" w:cs="Times New Roman" w:eastAsia="Times New Roman" w:hAnsi="Times New Roman"/>
          <w:sz w:val="18"/>
          <w:szCs w:val="18"/>
          <w:color w:val="auto"/>
        </w:rPr>
      </w:pPr>
    </w:p>
    <w:p>
      <w:pPr>
        <w:ind w:left="-656" w:firstLine="656"/>
        <w:spacing w:after="0" w:line="284" w:lineRule="auto"/>
        <w:tabs>
          <w:tab w:leader="none" w:pos="10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Except as otherwise expressly provided herein, all notices and other communications provided for hereunder shall be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and delivered by hand or overnight courier service or sent by facsimile or email as follows:</w:t>
      </w:r>
    </w:p>
    <w:p>
      <w:pPr>
        <w:spacing w:after="0" w:line="160" w:lineRule="exact"/>
        <w:rPr>
          <w:rFonts w:ascii="Times New Roman" w:cs="Times New Roman" w:eastAsia="Times New Roman" w:hAnsi="Times New Roman"/>
          <w:sz w:val="18"/>
          <w:szCs w:val="18"/>
          <w:color w:val="auto"/>
        </w:rPr>
      </w:pPr>
    </w:p>
    <w:p>
      <w:pPr>
        <w:ind w:left="1564" w:hanging="916"/>
        <w:spacing w:after="0"/>
        <w:tabs>
          <w:tab w:leader="none" w:pos="15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his, her, or its address (and email address) set forth on the signature page to this Warrant.</w:t>
      </w:r>
    </w:p>
    <w:p>
      <w:pPr>
        <w:spacing w:after="0" w:line="225" w:lineRule="exact"/>
        <w:rPr>
          <w:rFonts w:ascii="Times New Roman" w:cs="Times New Roman" w:eastAsia="Times New Roman" w:hAnsi="Times New Roman"/>
          <w:sz w:val="18"/>
          <w:szCs w:val="18"/>
          <w:color w:val="auto"/>
        </w:rPr>
      </w:pPr>
    </w:p>
    <w:p>
      <w:pPr>
        <w:ind w:left="-656" w:firstLine="1304"/>
        <w:spacing w:after="0" w:line="282" w:lineRule="auto"/>
        <w:tabs>
          <w:tab w:leader="none" w:pos="17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by hand or overnight courier service shall be deemed to have been given when received and notices sent by electronic communications, shall be effective upon confirmation</w:t>
      </w:r>
    </w:p>
    <w:p>
      <w:pPr>
        <w:sectPr>
          <w:pgSz w:w="11900" w:h="16838" w:orient="portrait"/>
          <w:cols w:equalWidth="0" w:num="1">
            <w:col w:w="10584"/>
          </w:cols>
          <w:pgMar w:left="976" w:top="472" w:right="339" w:bottom="1440" w:gutter="0" w:footer="0" w:header="0"/>
        </w:sectPr>
      </w:pPr>
    </w:p>
    <w:bookmarkStart w:id="99" w:name="page100"/>
    <w:bookmarkEnd w:id="99"/>
    <w:p>
      <w:pPr>
        <w:jc w:val="both"/>
        <w:ind w:firstLine="656"/>
        <w:spacing w:after="0" w:line="257" w:lineRule="auto"/>
        <w:tabs>
          <w:tab w:leader="none" w:pos="18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as Stockholder. </w:t>
      </w:r>
      <w:r>
        <w:rPr>
          <w:rFonts w:ascii="Times New Roman" w:cs="Times New Roman" w:eastAsia="Times New Roman" w:hAnsi="Times New Roman"/>
          <w:sz w:val="18"/>
          <w:szCs w:val="18"/>
          <w:color w:val="auto"/>
        </w:rPr>
        <w:t>Until the exercise of this Warrant, Holder shall not have or exercise any rights by virtue hereof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 of the Company unless otherwise acquired. Without limiting the generality of the foregoing, and except as otherwise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no dividends shall accrue to the shares of Common Stock or other equity securities underlying this Warrant until the exercise hereof and the purchase of the underlying shares of Common Stock or other equity securities, at which point dividends shall begin to accrue with respect to such shares of Common Stock or other equity securities from and after the date such shares of Common Stock or other equity securities are so purchased. Nothing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limit the right of Holder to be provided the notices required to be provided pursuant to the terms of this Warrant.</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6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in this Warrant are for purposes of reference only and shall not limit or otherwise affect the meaning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this Warrant.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6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Warrant and all actions arising out of or in connection with this Warrant shall be governed by and construed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laws of the State of Nevada, without application of conflicts of law principles thereunder.</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8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or Waiver. </w:t>
      </w:r>
      <w:r>
        <w:rPr>
          <w:rFonts w:ascii="Times New Roman" w:cs="Times New Roman" w:eastAsia="Times New Roman" w:hAnsi="Times New Roman"/>
          <w:sz w:val="18"/>
          <w:szCs w:val="18"/>
          <w:color w:val="auto"/>
        </w:rPr>
        <w:t>Any provision of this Warrant may be amended, waived or modified (either generally or in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instance, either retroactively or prospectively, and either for a specified period of time or indefinitely) only by an instrument in writing signed by the Company and Holder. Any amendment, waiver or modification effected in accordance 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shall be binding upon Holder, each future holder of the Warrant or the Warrant Stock and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7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Days. </w:t>
      </w:r>
      <w:r>
        <w:rPr>
          <w:rFonts w:ascii="Times New Roman" w:cs="Times New Roman" w:eastAsia="Times New Roman" w:hAnsi="Times New Roman"/>
          <w:sz w:val="18"/>
          <w:szCs w:val="18"/>
          <w:color w:val="auto"/>
        </w:rPr>
        <w:t>This Warrant shall be exercisable as provided for herein, except that in the event that the Expiration Date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shall fall on a Saturday, Sunday and/or and United States federally recognized Holiday, the Expiration Date for this Warrant shall be extended to 5:00 p.m. Pacific time on the business day following such Saturday, Sunday or recognized Holiday.</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5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 and Assigns. </w:t>
      </w:r>
      <w:r>
        <w:rPr>
          <w:rFonts w:ascii="Times New Roman" w:cs="Times New Roman" w:eastAsia="Times New Roman" w:hAnsi="Times New Roman"/>
          <w:sz w:val="18"/>
          <w:szCs w:val="18"/>
          <w:color w:val="auto"/>
        </w:rPr>
        <w:t>The terms and provisions of this Warrant shall incur to the benefit of, and be binding upon,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hereof and their respective permitted successors and assigns.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6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Attorneys’ Fees. </w:t>
      </w:r>
      <w:r>
        <w:rPr>
          <w:rFonts w:ascii="Times New Roman" w:cs="Times New Roman" w:eastAsia="Times New Roman" w:hAnsi="Times New Roman"/>
          <w:sz w:val="18"/>
          <w:szCs w:val="18"/>
          <w:color w:val="auto"/>
        </w:rPr>
        <w:t>If any action at law or in equity is necessary to enforce or interpret the terms of this Warrant the adjudicating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its discretion order that the non-prevailing party, as determined by such adjudicating party, reimburse the prevailing party for reasonable attorney’s fees and costs in addition to any other relief to which such prevailing party may be entitled.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240"/>
          </w:cols>
          <w:pgMar w:left="320" w:top="68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be signed by its duly authorized officer as of the date first written above.</w:t>
      </w: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17145</wp:posOffset>
            </wp:positionV>
            <wp:extent cx="29914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22860</wp:posOffset>
            </wp:positionV>
            <wp:extent cx="29914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-121920</wp:posOffset>
            </wp:positionV>
            <wp:extent cx="29914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hereby agrees to the foregoing terms and conditions set forth in this Warrant.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17145</wp:posOffset>
            </wp:positionV>
            <wp:extent cx="29914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22860</wp:posOffset>
            </wp:positionV>
            <wp:extent cx="29914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-121920</wp:posOffset>
            </wp:positionV>
            <wp:extent cx="29914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17145</wp:posOffset>
            </wp:positionV>
            <wp:extent cx="2991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ectPr>
          <w:pgSz w:w="11900" w:h="16838" w:orient="portrait"/>
          <w:cols w:equalWidth="0" w:num="1">
            <w:col w:w="10280"/>
          </w:cols>
          <w:pgMar w:left="980" w:top="468" w:right="6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FORM</w:t>
      </w:r>
    </w:p>
    <w:p>
      <w:pPr>
        <w:spacing w:after="0" w:line="225" w:lineRule="exact"/>
        <w:rPr>
          <w:sz w:val="20"/>
          <w:szCs w:val="20"/>
          <w:color w:val="auto"/>
        </w:rPr>
      </w:pPr>
    </w:p>
    <w:p>
      <w:pPr>
        <w:ind w:left="100"/>
        <w:spacing w:after="0"/>
        <w:tabs>
          <w:tab w:leader="none" w:pos="9560" w:val="left"/>
        </w:tabs>
        <w:rPr>
          <w:sz w:val="20"/>
          <w:szCs w:val="20"/>
          <w:color w:val="auto"/>
        </w:rPr>
      </w:pPr>
      <w:r>
        <w:rPr>
          <w:rFonts w:ascii="Times New Roman" w:cs="Times New Roman" w:eastAsia="Times New Roman" w:hAnsi="Times New Roman"/>
          <w:sz w:val="18"/>
          <w:szCs w:val="18"/>
          <w:b w:val="1"/>
          <w:bCs w:val="1"/>
          <w:color w:val="auto"/>
        </w:rPr>
        <w:t>To: EXPION360 INC.</w:t>
      </w:r>
      <w:r>
        <w:rPr>
          <w:sz w:val="20"/>
          <w:szCs w:val="20"/>
          <w:color w:val="auto"/>
        </w:rPr>
        <w:tab/>
      </w:r>
      <w:r>
        <w:rPr>
          <w:rFonts w:ascii="Times New Roman" w:cs="Times New Roman" w:eastAsia="Times New Roman" w:hAnsi="Times New Roman"/>
          <w:sz w:val="18"/>
          <w:szCs w:val="18"/>
          <w:color w:val="auto"/>
        </w:rPr>
        <w:t>Dated:____________</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By checking the box below, the undersigned hereby irrevocably elects:</w:t>
      </w:r>
    </w:p>
    <w:p>
      <w:pPr>
        <w:spacing w:after="0" w:line="225" w:lineRule="exact"/>
        <w:rPr>
          <w:sz w:val="20"/>
          <w:szCs w:val="20"/>
          <w:color w:val="auto"/>
        </w:rPr>
      </w:pPr>
    </w:p>
    <w:p>
      <w:pPr>
        <w:ind w:left="1920" w:hanging="387"/>
        <w:spacing w:after="0" w:line="282" w:lineRule="auto"/>
        <w:tabs>
          <w:tab w:leader="none" w:pos="19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to purchase ________shares of Common Stock, and herewith makes payment of $ _____ by cash, check or wire transfer, representing the aggregate Purchase Price therefor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the attached Warrant.</w:t>
      </w:r>
    </w:p>
    <w:p>
      <w:pPr>
        <w:spacing w:after="0" w:line="161" w:lineRule="exact"/>
        <w:rPr>
          <w:rFonts w:ascii="MS PGothic" w:cs="MS PGothic" w:eastAsia="MS PGothic" w:hAnsi="MS PGothic"/>
          <w:sz w:val="18"/>
          <w:szCs w:val="18"/>
          <w:color w:val="auto"/>
        </w:rPr>
      </w:pPr>
    </w:p>
    <w:p>
      <w:pPr>
        <w:ind w:left="1920" w:hanging="387"/>
        <w:spacing w:after="0" w:line="282" w:lineRule="auto"/>
        <w:tabs>
          <w:tab w:leader="none" w:pos="192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to exercise the Conversion Right with respect to _______ shares of Common Stock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attached Warrant.</w:t>
      </w:r>
    </w:p>
    <w:p>
      <w:pPr>
        <w:spacing w:after="0" w:line="162" w:lineRule="exact"/>
        <w:rPr>
          <w:sz w:val="20"/>
          <w:szCs w:val="20"/>
          <w:color w:val="auto"/>
        </w:rPr>
      </w:pPr>
    </w:p>
    <w:p>
      <w:pPr>
        <w:jc w:val="both"/>
        <w:ind w:right="20" w:firstLine="894"/>
        <w:spacing w:after="0" w:line="282" w:lineRule="auto"/>
        <w:rPr>
          <w:sz w:val="20"/>
          <w:szCs w:val="20"/>
          <w:color w:val="auto"/>
        </w:rPr>
      </w:pPr>
      <w:r>
        <w:rPr>
          <w:rFonts w:ascii="Times New Roman" w:cs="Times New Roman" w:eastAsia="Times New Roman" w:hAnsi="Times New Roman"/>
          <w:sz w:val="18"/>
          <w:szCs w:val="18"/>
          <w:color w:val="auto"/>
        </w:rPr>
        <w:t>Please issue a certificate or certificates (if the shares of Warrant Stock are certificated) reflecting the issuance of said shares of Common Stock in the name of the undersigned or in such other name as is specified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893"/>
        <w:spacing w:after="0" w:line="266" w:lineRule="auto"/>
        <w:rPr>
          <w:sz w:val="20"/>
          <w:szCs w:val="20"/>
          <w:color w:val="auto"/>
        </w:rPr>
      </w:pPr>
      <w:r>
        <w:rPr>
          <w:rFonts w:ascii="Times New Roman" w:cs="Times New Roman" w:eastAsia="Times New Roman" w:hAnsi="Times New Roman"/>
          <w:sz w:val="18"/>
          <w:szCs w:val="18"/>
          <w:color w:val="auto"/>
        </w:rPr>
        <w:t>The undersigned represents that the aforesaid shares of Common Stock are being acquired for the account of the undersigned for investment and not with a view to, or for resale in connection with, the distribution thereof and that the undersigned has no present intention of distributing or reselling such shares of Common Stock except in compliance with applicable securities laws.</w:t>
      </w:r>
    </w:p>
    <w:p>
      <w:pPr>
        <w:spacing w:after="0" w:line="17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(Entity name, if applicable)</w:t>
      </w:r>
    </w:p>
    <w:p>
      <w:pPr>
        <w:spacing w:after="0" w:line="207"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____________________</w:t>
      </w:r>
    </w:p>
    <w:p>
      <w:pPr>
        <w:spacing w:after="0" w:line="9"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tab/>
        <w:t>____________________</w:t>
      </w:r>
    </w:p>
    <w:p>
      <w:pPr>
        <w:sectPr>
          <w:pgSz w:w="11900" w:h="16838" w:orient="portrait"/>
          <w:cols w:equalWidth="0" w:num="1">
            <w:col w:w="11240"/>
          </w:cols>
          <w:pgMar w:left="320" w:top="468" w:right="339" w:bottom="1440" w:gutter="0" w:footer="0" w:header="0"/>
        </w:sectPr>
      </w:pPr>
    </w:p>
    <w:bookmarkStart w:id="102" w:name="page103"/>
    <w:bookmarkEnd w:id="102"/>
    <w:p>
      <w:pPr>
        <w:ind w:left="1022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WARRANT AND THE SECURITIES THAT MAY BE PURCHASED UPON THE EXERCISE OF THIS WARRANT HAVE BEEN ACQUIRED FOR INVESTMENT AND NOT FOR DISTRIBUTION, AND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b w:val="1"/>
          <w:bCs w:val="1"/>
          <w:color w:val="auto"/>
        </w:rPr>
        <w:t xml:space="preserve"> SUCH SECURITIES MAY NOT BE OFFERED FOR SALE, SOLD, PLEDGED OR HYPOTHECATED, OR OTHERWISE TRANSFERRED UNLESS AND UNTIL REGISTRATION UNDER THE ACT OR AN EXEMPTION FROM THE REGISTRATION REQUIREMENTS OF THE ACT IS AVAILABLE FOR SUCH OFFER, SALE, PLEDGE, HYPOTHECATION, OR TRANSFER IN THE OPINION OF LEGAL COUNSEL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___________</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EXPION360 INC.</w:t>
      </w:r>
      <w:r>
        <w:rPr>
          <w:rFonts w:ascii="Times New Roman" w:cs="Times New Roman" w:eastAsia="Times New Roman" w:hAnsi="Times New Roman"/>
          <w:sz w:val="18"/>
          <w:szCs w:val="18"/>
          <w:color w:val="auto"/>
        </w:rPr>
        <w:t>, a Nevada corporation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for valid consideration received, hereby certifies that ___________, or [his/her]</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registered assigns (in each case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is entitled pursuant to the terms of this warrant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subject to the terms set forth below, to purchase, prior to termination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hereof, up to __________ </w:t>
      </w:r>
      <w:r>
        <w:rPr>
          <w:rFonts w:ascii="Times New Roman" w:cs="Times New Roman" w:eastAsia="Times New Roman" w:hAnsi="Times New Roman"/>
          <w:sz w:val="18"/>
          <w:szCs w:val="18"/>
          <w:b w:val="1"/>
          <w:bCs w:val="1"/>
          <w:color w:val="auto"/>
        </w:rPr>
        <w:t>(___________)</w:t>
      </w:r>
      <w:r>
        <w:rPr>
          <w:rFonts w:ascii="Times New Roman" w:cs="Times New Roman" w:eastAsia="Times New Roman" w:hAnsi="Times New Roman"/>
          <w:sz w:val="18"/>
          <w:szCs w:val="18"/>
          <w:color w:val="auto"/>
        </w:rPr>
        <w:t xml:space="preserve"> shares of duly authorized, validly issued, fully-paid and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non-assessable shares of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at an exercise price of $3.32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Common Stock purchasable upon exercise of this Warrant, as adjusted from time to time pursuant to the terms of this Warrant, are hereinafter referred to as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This Warrant is issued pursuant to that certain Subscription Agreement of even date herewith, by and between the Company and the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thereto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and capitalized terms not defined herein will have the meanings set forth in the Subscription Agreement.</w:t>
      </w:r>
    </w:p>
    <w:p>
      <w:pPr>
        <w:spacing w:after="0" w:line="187" w:lineRule="exact"/>
        <w:rPr>
          <w:sz w:val="20"/>
          <w:szCs w:val="20"/>
          <w:color w:val="auto"/>
        </w:rPr>
      </w:pPr>
    </w:p>
    <w:p>
      <w:pPr>
        <w:ind w:left="1640" w:hanging="984"/>
        <w:spacing w:after="0"/>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8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This Warrant may be exercised by Holder in whole or in part prior to termination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surrendering this Warrant, with the purchase form appended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completed in accordance with the instructions thereto and duly executed by such Holder or by such Holder’s duly authorized attorney, at the principal office of the Company, or at such other office or agency as the Company may designate, accompanied by payment in full by cash, check or wire transfer of all or such portion of the aggregate Purchase Price as is payable in respect of the number of shares of Warrant Stock purchased upon such exercise or through the exercise of the Conversion Right as described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below.</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22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w:t>
      </w:r>
      <w:r>
        <w:rPr>
          <w:rFonts w:ascii="Times New Roman" w:cs="Times New Roman" w:eastAsia="Times New Roman" w:hAnsi="Times New Roman"/>
          <w:sz w:val="18"/>
          <w:szCs w:val="18"/>
          <w:color w:val="auto"/>
        </w:rPr>
        <w:t>The exercise of this Warrant shall be deemed to have been effected immediately prior to the close of business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 on which this Warrant shall have been surrendered to the Company as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above. If Holder exercises this Warrant in connection with a merger or sale of the Company other than in connection with the conversion of the Company into a corporation through conversion, merger, or similar transaction in which the relative equity ownership percentages of the owners of the Company do not change (“</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Holder may designate that the exercise date be deemed the closing date of such Change of Control Transaction, and conditional upon the occurrence of such event.</w:t>
      </w:r>
    </w:p>
    <w:p>
      <w:pPr>
        <w:sectPr>
          <w:pgSz w:w="11900" w:h="16838" w:orient="portrait"/>
          <w:cols w:equalWidth="0" w:num="1">
            <w:col w:w="11240"/>
          </w:cols>
          <w:pgMar w:left="320" w:top="131" w:right="339" w:bottom="1440" w:gutter="0" w:footer="0" w:header="0"/>
        </w:sectPr>
      </w:pPr>
    </w:p>
    <w:bookmarkStart w:id="103" w:name="page104"/>
    <w:bookmarkEnd w:id="103"/>
    <w:p>
      <w:pPr>
        <w:ind w:left="2220" w:hanging="916"/>
        <w:spacing w:after="0"/>
        <w:tabs>
          <w:tab w:leader="none" w:pos="2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Convert Warrant; Net Issuance. </w:t>
      </w:r>
      <w:r>
        <w:rPr>
          <w:rFonts w:ascii="Times New Roman" w:cs="Times New Roman" w:eastAsia="Times New Roman" w:hAnsi="Times New Roman"/>
          <w:sz w:val="18"/>
          <w:szCs w:val="18"/>
          <w:color w:val="auto"/>
        </w:rPr>
        <w:t>In addition to and without limiting the rights of the Holder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this Warrant, but only to the extent this Warrant has not otherwise been exercised, the Holder shall have the right to convert this Warrant or any portion thereof (the </w:t>
      </w:r>
      <w:r>
        <w:rPr>
          <w:rFonts w:ascii="Times New Roman" w:cs="Times New Roman" w:eastAsia="Times New Roman" w:hAnsi="Times New Roman"/>
          <w:sz w:val="18"/>
          <w:szCs w:val="18"/>
          <w:b w:val="1"/>
          <w:bCs w:val="1"/>
          <w:color w:val="auto"/>
        </w:rPr>
        <w:t>“Conversion Right</w:t>
      </w:r>
      <w:r>
        <w:rPr>
          <w:rFonts w:ascii="Times New Roman" w:cs="Times New Roman" w:eastAsia="Times New Roman" w:hAnsi="Times New Roman"/>
          <w:sz w:val="18"/>
          <w:szCs w:val="18"/>
          <w:color w:val="auto"/>
        </w:rPr>
        <w:t xml:space="preserve">”) into Warrant Stock as provided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at any time or from time to time during the term of this Warrant. Upon exercise of the Conversion Right with respect to a particular number of shares of Warrant Stock set forth on the purchase form appended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“Converted Warrant Stock</w:t>
      </w:r>
      <w:r>
        <w:rPr>
          <w:rFonts w:ascii="Times New Roman" w:cs="Times New Roman" w:eastAsia="Times New Roman" w:hAnsi="Times New Roman"/>
          <w:sz w:val="18"/>
          <w:szCs w:val="18"/>
          <w:color w:val="auto"/>
        </w:rPr>
        <w:t>”), the Company shall deliver to the holder (without payment by the holder of any exercise price or any cash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consideration) (X) that number of shares of Warrant Stock equal to the quotient obtained by dividing the value of this Warrant (or the specified portion hereof) on the Conversion Date (as defined in subsection (ii) hereof), which value shall be determined by subtracting (A) the aggregate Purchase Price of the shares of Converted Warrant Stock immediately prior to the exercise of the Conversion Right from (B) the aggregate fair market value of the Converted Warrant Stock issuable upon exercise of this Warrant (or the specified portion hereof) on the Conversion Date (as hereinafter defined) by (Y) the fair market value of one share of Converted Warrant Stock on the Conversion Date (as hereinafter defined).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Expressed as a formula, such conversion shall be computed as follows:</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 = </w:t>
      </w:r>
      <w:r>
        <w:rPr>
          <w:sz w:val="1"/>
          <w:szCs w:val="1"/>
          <w:color w:val="auto"/>
        </w:rPr>
        <w:drawing>
          <wp:inline distT="0" distB="0" distL="0" distR="0">
            <wp:extent cx="334010" cy="3175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334010" cy="317500"/>
                    </a:xfrm>
                    <a:prstGeom prst="rect">
                      <a:avLst/>
                    </a:prstGeom>
                    <a:noFill/>
                    <a:ln>
                      <a:noFill/>
                    </a:ln>
                  </pic:spPr>
                </pic:pic>
              </a:graphicData>
            </a:graphic>
          </wp:inline>
        </w:drawing>
      </w:r>
    </w:p>
    <w:p>
      <w:pPr>
        <w:spacing w:after="0" w:line="213" w:lineRule="exact"/>
        <w:rPr>
          <w:sz w:val="20"/>
          <w:szCs w:val="20"/>
          <w:color w:val="auto"/>
        </w:rPr>
      </w:pPr>
    </w:p>
    <w:p>
      <w:pPr>
        <w:ind w:left="1420"/>
        <w:spacing w:after="0"/>
        <w:tabs>
          <w:tab w:leader="none" w:pos="2780" w:val="left"/>
        </w:tabs>
        <w:rPr>
          <w:sz w:val="20"/>
          <w:szCs w:val="20"/>
          <w:color w:val="auto"/>
        </w:rPr>
      </w:pPr>
      <w:r>
        <w:rPr>
          <w:rFonts w:ascii="Times New Roman" w:cs="Times New Roman" w:eastAsia="Times New Roman" w:hAnsi="Times New Roman"/>
          <w:sz w:val="18"/>
          <w:szCs w:val="18"/>
          <w:color w:val="auto"/>
        </w:rPr>
        <w:t>Where:</w:t>
      </w:r>
      <w:r>
        <w:rPr>
          <w:sz w:val="20"/>
          <w:szCs w:val="20"/>
          <w:color w:val="auto"/>
        </w:rPr>
        <w:tab/>
      </w:r>
      <w:r>
        <w:rPr>
          <w:rFonts w:ascii="Times New Roman" w:cs="Times New Roman" w:eastAsia="Times New Roman" w:hAnsi="Times New Roman"/>
          <w:sz w:val="18"/>
          <w:szCs w:val="18"/>
          <w:color w:val="auto"/>
        </w:rPr>
        <w:t>X = the number of shares of Warrant Stock that may be issued to Holder upon exercise of the Conversion Right</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Y = the Fair Market Value of one share of Warrant Stock</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 = the aggregate Purchase Price (the per share Purchase Price multiplied by the number of shares of Converted</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Warrant Stock)</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 = the aggregate Fair Market Value (i.e., Fair Market Value multiplied by the number of shares of Converted</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Warrant Stock)</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fractional shares of Warrant Stock shall be issuable upon exercise of the Conversion Right, and, if the number of shares of Warrant Stock to be issued determined in accordance with the foregoing formula is other than a whole number, the Company shall pay to the Holder an amount in cash equal to the Fair Market Value of the resulting fractional share of Warrant Stock on the Conversion Date.</w:t>
      </w:r>
    </w:p>
    <w:p>
      <w:pPr>
        <w:spacing w:after="0" w:line="174" w:lineRule="exact"/>
        <w:rPr>
          <w:sz w:val="20"/>
          <w:szCs w:val="20"/>
          <w:color w:val="auto"/>
        </w:rPr>
      </w:pPr>
    </w:p>
    <w:p>
      <w:pPr>
        <w:jc w:val="both"/>
        <w:ind w:firstLine="1952"/>
        <w:spacing w:after="0" w:line="256" w:lineRule="auto"/>
        <w:tabs>
          <w:tab w:leader="none" w:pos="29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Exercise. </w:t>
      </w:r>
      <w:r>
        <w:rPr>
          <w:rFonts w:ascii="Times New Roman" w:cs="Times New Roman" w:eastAsia="Times New Roman" w:hAnsi="Times New Roman"/>
          <w:sz w:val="18"/>
          <w:szCs w:val="18"/>
          <w:color w:val="auto"/>
        </w:rPr>
        <w:t>The Conversion Right may be exercised by the Holder by the surrender of this Warrant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office of the Company together with a written statement specifying that the Holder thereby intends to exercise the Conversion Right and indicating the number of shares of Warrant Stock which are being surrendered (referred to in subsection (i) hereof as the Converted Warrant Stock) in exercise of the Conversion Right. Such conversion shall be effective upon receipt by the Company of this Warrant together with the aforesaid written statement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If the shares of Warrant Stock are certificated, then certificates for the Converted Warrant Stock issuable upon exercise of the Conversion Right shall be issued as of the Conversion Date and shall be delivered to the Holder within thirty (30) days following the Conversion Date.</w:t>
      </w:r>
    </w:p>
    <w:p>
      <w:pPr>
        <w:spacing w:after="0" w:line="180"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 of Fair Market Value. </w:t>
      </w:r>
      <w:r>
        <w:rPr>
          <w:rFonts w:ascii="Times New Roman" w:cs="Times New Roman" w:eastAsia="Times New Roman" w:hAnsi="Times New Roman"/>
          <w:sz w:val="18"/>
          <w:szCs w:val="18"/>
          <w:color w:val="auto"/>
        </w:rPr>
        <w:t>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as of any</w:t>
      </w:r>
    </w:p>
    <w:p>
      <w:pPr>
        <w:spacing w:after="0" w:line="3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particular date: (a) the volume weighted average of the closing sales prices of the Warrant Stock for such day on all domestic securities exchanges on which the Warrant Stock may at the time be listed; (b) if there have been no sales of the Warrant Stock on any such exchange on any such day, the average of the highest bid and lowest asked prices for the Warrant Stock on all such exchanges at the end of such day; (c) if on any such day the Warrant Stock is not listed on a domestic securities exchange, the closing sales price of the Warrant Stock as quoted on the OTC Bulletin Board, the Pink OTC Markets or similar quotation system or association for such day; or (d) if there have been no sales of the Warrant Stock on the OTC Bulletin Board, the Pink OTC Markets or similar quotation system or association on such day, the average of the highest bid and lowest asked prices for the Warrant Stock quoted on the OTC Bulletin Board, the Pink OTC Markets or similar quotation system or association at the end of such day; in each case, averaged over twenty (20) consecutive Business Days ending on the Business Day immediately prior to the day as of which “Fair Market Value” is being determined; provided, that if the Warrant Stock is listed on any domestic securities exchange, the term “Business Day” as used in this sentence means Business Days on which such exchange is open for trading. If at any time the Warrant Stock is not listed on any domestic securities exchange or quoted on the OTC Bulletin Board, the Pink OTC Markets or similar quotation system or association, the “Fair Market Value” of the Warrant Stock shall be the fair market value per share as determined jointly by the Company and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and the Holder are unable to agree on the fair market value per share of the Warrant Stock within a reasonable period of time (not to exceed Ten (10) days from the Warrant’s receipt of the purchase form), such fair market value shall be determined by a nationally recognized investment banking, accounting or valuation firm jointly selected by the Company and the Holder. The determination of such firm shall be final and conclusive, and the fees and expenses of such valuation firm shall be borne by the Company.</w:t>
      </w:r>
    </w:p>
    <w:p>
      <w:pPr>
        <w:sectPr>
          <w:pgSz w:w="11900" w:h="16838" w:orient="portrait"/>
          <w:cols w:equalWidth="0" w:num="1">
            <w:col w:w="11240"/>
          </w:cols>
          <w:pgMar w:left="320" w:top="470" w:right="339" w:bottom="1440" w:gutter="0" w:footer="0" w:header="0"/>
        </w:sectPr>
      </w:pPr>
    </w:p>
    <w:bookmarkStart w:id="104" w:name="page105"/>
    <w:bookmarkEnd w:id="104"/>
    <w:p>
      <w:pPr>
        <w:jc w:val="both"/>
        <w:ind w:left="-656" w:firstLine="1304"/>
        <w:spacing w:after="0" w:line="261" w:lineRule="auto"/>
        <w:tabs>
          <w:tab w:leader="none" w:pos="16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If the shares of Warrant Stock are certificated, then as soon as practicable after the exercise of this Warrant,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cause to be issued in the name of, and delivered to, Holder, or as such Holder may direct, a certificate or certificates for the number of shares of Warrant Stock to which such Holder shall be entitled. Issuance of certificates pursuant to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shall be made without charge to Holder for any issue or transfer tax or other incidental expenses, all of which taxes and expenses shall be paid by the Company.</w:t>
      </w:r>
    </w:p>
    <w:p>
      <w:pPr>
        <w:spacing w:after="0" w:line="179" w:lineRule="exact"/>
        <w:rPr>
          <w:rFonts w:ascii="Times New Roman" w:cs="Times New Roman" w:eastAsia="Times New Roman" w:hAnsi="Times New Roman"/>
          <w:sz w:val="18"/>
          <w:szCs w:val="18"/>
          <w:color w:val="auto"/>
        </w:rPr>
      </w:pPr>
    </w:p>
    <w:p>
      <w:pPr>
        <w:ind w:left="-656" w:right="20" w:firstLine="1304"/>
        <w:spacing w:after="0" w:line="284" w:lineRule="auto"/>
        <w:tabs>
          <w:tab w:leader="none" w:pos="16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Each certificate or other records representing the Common Stock or for any other security issued or issuable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this Warrant shall bear the following legend:</w:t>
      </w:r>
    </w:p>
    <w:p>
      <w:pPr>
        <w:spacing w:after="0" w:line="160" w:lineRule="exact"/>
        <w:rPr>
          <w:sz w:val="20"/>
          <w:szCs w:val="20"/>
          <w:color w:val="auto"/>
        </w:rPr>
      </w:pPr>
    </w:p>
    <w:p>
      <w:pPr>
        <w:jc w:val="both"/>
        <w:ind w:left="624"/>
        <w:spacing w:after="0" w:line="256" w:lineRule="auto"/>
        <w:rPr>
          <w:sz w:val="20"/>
          <w:szCs w:val="20"/>
          <w:color w:val="auto"/>
        </w:rPr>
      </w:pPr>
      <w:r>
        <w:rPr>
          <w:rFonts w:ascii="Times New Roman" w:cs="Times New Roman" w:eastAsia="Times New Roman" w:hAnsi="Times New Roman"/>
          <w:sz w:val="18"/>
          <w:szCs w:val="18"/>
          <w:color w:val="auto"/>
        </w:rPr>
        <w:t xml:space="preserve">“THE SECURITIES REPRESENTED HEREBY HAVE BEEN ACQUIRED FOR INVESTMENT AND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SUCH SECURITIES MAY NOT BE SOLD, PLEDGED OR OTHERWISE TRANSFERRED IN THE ABSENCE OF SUCH REGISTRATION UNLESS THE COMPANY RECEIVES AN OPINION OF COUNSEL REASONABLY ACCEPTABLE TO THE COMPANY STATING THAT SUCH SALE, PLEDGE OR TRANSFER IS EXEMPT FROM THE REGISTRATION AND PROSPECTUS DELIVERY REQUIREMENTS OF THE ACT UNLESS SOLD PURSUANT TO RULE 144 PROMULGATED UNDER THE ACT.”</w:t>
      </w:r>
    </w:p>
    <w:p>
      <w:pPr>
        <w:spacing w:after="0" w:line="185" w:lineRule="exact"/>
        <w:rPr>
          <w:sz w:val="20"/>
          <w:szCs w:val="20"/>
          <w:color w:val="auto"/>
        </w:rPr>
      </w:pPr>
    </w:p>
    <w:p>
      <w:pPr>
        <w:ind w:left="-656" w:firstLine="1304"/>
        <w:spacing w:after="0" w:line="284"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of Common Stock. </w:t>
      </w:r>
      <w:r>
        <w:rPr>
          <w:rFonts w:ascii="Times New Roman" w:cs="Times New Roman" w:eastAsia="Times New Roman" w:hAnsi="Times New Roman"/>
          <w:sz w:val="18"/>
          <w:szCs w:val="18"/>
          <w:color w:val="auto"/>
        </w:rPr>
        <w:t>The Company covenants that the Common Stock, when issued pursuant to the exercise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will be duly and validly issued, fully paid and nonassessable and free from all taxes, liens and charges with respect to the issuance thereof.</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9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Upon Reorganization, Reclassification or Change of Control Transaction. </w:t>
      </w:r>
      <w:r>
        <w:rPr>
          <w:rFonts w:ascii="Times New Roman" w:cs="Times New Roman" w:eastAsia="Times New Roman" w:hAnsi="Times New Roman"/>
          <w:sz w:val="18"/>
          <w:szCs w:val="18"/>
          <w:color w:val="auto"/>
        </w:rPr>
        <w:t>In the event of any (i) capital reorganization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(ii) reclassification of the Capital Stock (other than a change in par value or from par value to no par value or from no par value to par value), including any distribution, dividend or subdivision, split-up or combination of shares of Capital Stock, (iii) Change of Control Transaction, or (iv) other similar transaction, in each case which entitles the holders of shares of Common Stock to receive (either directly or upon subsequent liquidation) stock, securities or assets with respect to or in exchange for shares of Common Stock, this Warrant shall, immediately after such reorganization, reclassification, Change of Control Transaction or similar transaction, remain outstanding and shall thereafter, in lieu of or in addition to (as the case may be) the number of shares of Warrant Stock then exercisable under this Warrant, be exercisable for the kind and number of shares of Capital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Change of Control Transaction or similar transaction and acquired the applicable number of shares of Warrant Stock then issuable hereunder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insure that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thereafter be applicable, as nearly as possible, to this Warrant in relation to any shares of stock, securities or assets thereafter acquirable upon exercise of this Warrant (including, in the case of any Change of Control Transaction or similar transaction in which the successor or purchasing Person is other than the Company, an immediate adjustment to the number of shares of Warrant Stock then acquirable upon exercise of this Warrant without regard to any limitations or restrictions on exercise).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similarly apply to successive reorganizations, reclassifications, Change of Control Transactions or similar transactions. The Company shall not effect any such reorganization, reclassification, Change of Control Transaction or similar transaction unless, prior to the consummation thereof, the successor Person (if other than the Company) resulting from such reorganization, reclassification, Change of Control Transaction or similar transaction, shall assume, by written instrument substantially similar in form and substance to this Warrant and satisfactory to the Holder, the obligation to deliver to the Holder such shares of stock, securities or assets which, in accordance with the foregoing provisions, such Holder shall be entitled to receive upon exercise of this Warrant. Notwithstanding anything to the contrary contained herein, with respect to any corporate event or other transaction contemplated by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Holder shall have the right to elect prior to the consummation of such event or transaction, to give effect to the exercise rights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instead of giving effect to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with respect to this Warrant.</w:t>
      </w:r>
    </w:p>
    <w:p>
      <w:pPr>
        <w:sectPr>
          <w:pgSz w:w="11900" w:h="16838" w:orient="portrait"/>
          <w:cols w:equalWidth="0" w:num="1">
            <w:col w:w="10584"/>
          </w:cols>
          <w:pgMar w:left="976" w:top="686" w:right="339" w:bottom="1440" w:gutter="0" w:footer="0" w:header="0"/>
        </w:sectPr>
      </w:pPr>
    </w:p>
    <w:bookmarkStart w:id="105" w:name="page106"/>
    <w:bookmarkEnd w:id="105"/>
    <w:p>
      <w:pPr>
        <w:jc w:val="both"/>
        <w:ind w:firstLine="656"/>
        <w:spacing w:after="0" w:line="253" w:lineRule="auto"/>
        <w:tabs>
          <w:tab w:leader="none" w:pos="1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w:t>
      </w:r>
      <w:r>
        <w:rPr>
          <w:rFonts w:ascii="Times New Roman" w:cs="Times New Roman" w:eastAsia="Times New Roman" w:hAnsi="Times New Roman"/>
          <w:sz w:val="18"/>
          <w:szCs w:val="18"/>
          <w:color w:val="auto"/>
        </w:rPr>
        <w:t>The Holder of this Warrant acknowledges that this Warrant and the Warrant Stock have not been registered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and agrees not to offer for sale, sell, pledge, distribute, transfer or otherwise dispose of this Warrant and agrees not to offer for sale, sell, pledge, distribute, transfer or otherwise dispose of any Warrant Stock issued upon its exercise in the absence of (i) an effective registration statement under the Act as to this Warrant and the Warrant Stock and registration or qualification of under any applicable Blue Sky or state securities law then in effect, or (ii) an opinion of counsel, reasonably satisfactory to the Company, that such registration and qualification are not required;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opinion need be obtained with respect to a transfer to (A) a partner or member, active or retired, of Holder, (B) the estate of any such partner or member, (C) an “affiliate” of Holder as that term is defined in Rule 405 promulgated by the U.S. Securities and Exchange Commission under the Act, or (D) the spouse, children, grandchildren or spouse of such children or grandchildren of Holder or to trusts for the benefit of Holder or such Persons, in each case if the transferee agrees to be subject to the terms hereof. Notwithstanding the foregoing, any transferee receiving Warrant Stock that (A) have been registered under the Act or (B) are resaleable under Rule 144 promulgated under the Act shall not be required to agree in writing to be subject to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No Impairment.</w:t>
      </w:r>
      <w:r>
        <w:rPr>
          <w:rFonts w:ascii="Times New Roman" w:cs="Times New Roman" w:eastAsia="Times New Roman" w:hAnsi="Times New Roman"/>
          <w:sz w:val="18"/>
          <w:szCs w:val="18"/>
          <w:color w:val="auto"/>
        </w:rPr>
        <w:t xml:space="preserve"> The Company will not, by amendment of its certificate of formation or operating agreement or through reorganization, consolidation, merger, dissolution, sale of assets or any other voluntary action, including the conversion of the Company into a corporation through a conversion, merger, or similar transaction in which the relative equity ownership percentages of the owners of the Company do not change, avoid or seek to avoid the observance or performance of any of the terms of this Warrant, but will at all times in good faith assist in the carrying out of all such terms and in the taking of all such action as may be reasonably necessary or appropriate in order to protect the rights of Holder of this Warrant against impairment.</w:t>
      </w:r>
    </w:p>
    <w:p>
      <w:pPr>
        <w:sectPr>
          <w:pgSz w:w="11900" w:h="16838" w:orient="portrait"/>
          <w:cols w:equalWidth="0" w:num="1">
            <w:col w:w="11240"/>
          </w:cols>
          <w:pgMar w:left="320" w:top="686" w:right="339" w:bottom="1440" w:gutter="0" w:footer="0" w:header="0"/>
        </w:sectPr>
      </w:pPr>
    </w:p>
    <w:bookmarkStart w:id="106" w:name="page107"/>
    <w:bookmarkEnd w:id="106"/>
    <w:p>
      <w:pPr>
        <w:ind w:firstLine="656"/>
        <w:spacing w:after="0" w:line="284" w:lineRule="auto"/>
        <w:tabs>
          <w:tab w:leader="none" w:pos="16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This Warrant (and the right to purchase securities upon exercise hereof) shall terminate ten (10) years from the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this Warrant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of Certain Transactions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makes any amendment to its certificate of formation or operating agreement;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89"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Company, any reclassification of the capital stock of the Company, any Change of Control Transaction, any other consolidation or merger of the Company with or into another entity, or any other transaction or series of related transactions pursuant to which the Company’s equity holders immediately prior thereto will possess a minority of the voting power of the surviving or acquiring entity immediately thereafter, or any transfer of all or substantially all of the assets of the Company; or</w:t>
      </w:r>
    </w:p>
    <w:p>
      <w:pPr>
        <w:spacing w:after="0" w:line="179"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Company;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and in each such case, the Company will send to Holder a notice specifying, as the case may be, (a) the date on which a record is to be taken for the purpose of such dividend, distribution or right, and stating the amount and character of such dividend, distribution or right, (b) a certified copy of the Company’s current certificate of formation, or (c) the effective date on which such reorganization, reclassification, consolidation, merger, transfer, Change of Control Transaction, dissolution, liquidation, winding-up, or redemption is to take place, and the time, if any is to be fixed, as of which Holders of record of shares of Common Stock (or such capital stock or securities at the time deliverable upon such reorganization, reclassification, consolidation, merger, transfer, dissolution, liquidation, winding-up, or redemption) shall be determined. Such notice shall be mailed at least twenty (20) days prior to the record date or effective date for the event specified in such notice.</w:t>
      </w:r>
    </w:p>
    <w:p>
      <w:pPr>
        <w:spacing w:after="0" w:line="189" w:lineRule="exact"/>
        <w:rPr>
          <w:sz w:val="20"/>
          <w:szCs w:val="20"/>
          <w:color w:val="auto"/>
        </w:rPr>
      </w:pPr>
    </w:p>
    <w:p>
      <w:pPr>
        <w:ind w:left="2440" w:hanging="1136"/>
        <w:spacing w:after="0"/>
        <w:tabs>
          <w:tab w:leader="none" w:pos="2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Holder of the Expiration Date of the Warrant, no later than twenty (20) days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5" w:lineRule="exact"/>
        <w:rPr>
          <w:sz w:val="20"/>
          <w:szCs w:val="20"/>
          <w:color w:val="auto"/>
        </w:rPr>
      </w:pPr>
    </w:p>
    <w:p>
      <w:pPr>
        <w:jc w:val="both"/>
        <w:ind w:firstLine="656"/>
        <w:spacing w:after="0" w:line="254" w:lineRule="auto"/>
        <w:tabs>
          <w:tab w:leader="none" w:pos="17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Reservation of Warrant Stock. </w:t>
      </w:r>
      <w:r>
        <w:rPr>
          <w:rFonts w:ascii="Times New Roman" w:cs="Times New Roman" w:eastAsia="Times New Roman" w:hAnsi="Times New Roman"/>
          <w:sz w:val="18"/>
          <w:szCs w:val="18"/>
          <w:color w:val="auto"/>
        </w:rPr>
        <w:t>The Company will at all times reserve and keep available, solely for the issuance and delivery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exercise of this Warrant, such shares of Common Stock and other equity securities or property, as from time to time shall be issuable upon the exercise of this Warrant. The Company covenants and agrees that all such shares of Common Stock or other equity securities that may be issued upon the exercise of the rights represented by this Warrant will, upon issuance, be duly authorized, validly issued, fully paid (assuming payment of the Purchase Price by Holder) and nonassessable and free from all preemptive rights and free of all taxes, liens and charges with respect to the issue thereof. The Company will take all such action as may be reasonably necessary to assure that such shares of Common Stock or other equity securities may be issued as provided herein without violation of any applicable law or regulation, or of any requirements of any domestic securities exchange upon which the securities of the Company may be listed;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required to effect a registration under Federal or state securities laws with respect to such exercise except as otherwise provided in the Subscription Agreement.</w:t>
      </w:r>
    </w:p>
    <w:p>
      <w:pPr>
        <w:sectPr>
          <w:pgSz w:w="11900" w:h="16838" w:orient="portrait"/>
          <w:cols w:equalWidth="0" w:num="1">
            <w:col w:w="11240"/>
          </w:cols>
          <w:pgMar w:left="320" w:top="686" w:right="339" w:bottom="1440" w:gutter="0" w:footer="0" w:header="0"/>
        </w:sectPr>
      </w:pPr>
    </w:p>
    <w:bookmarkStart w:id="107" w:name="page108"/>
    <w:bookmarkEnd w:id="107"/>
    <w:p>
      <w:pPr>
        <w:jc w:val="both"/>
        <w:ind w:left="-656" w:firstLine="656"/>
        <w:spacing w:after="0" w:line="258" w:lineRule="auto"/>
        <w:tabs>
          <w:tab w:leader="none" w:pos="10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 Warrants. </w:t>
      </w:r>
      <w:r>
        <w:rPr>
          <w:rFonts w:ascii="Times New Roman" w:cs="Times New Roman" w:eastAsia="Times New Roman" w:hAnsi="Times New Roman"/>
          <w:sz w:val="18"/>
          <w:szCs w:val="18"/>
          <w:color w:val="auto"/>
        </w:rPr>
        <w:t>Upon the surrender by Holder of any Warrant, properly endorsed, to the Company at the principal office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the Company will, subject to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hereof, issue and deliver to or upon the order of such Holder, at Holder’s expense, a new Warrant of like tenor, in the name of such Holder or as such Holder (upon payment by such Holder of any applicable transfer taxes) may direct, calling in the aggregate on the face or faces thereof for the number of shares of Common Stock or other equity securities called for on the face or faces of the Warrant so surrendered.</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11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of Common Stock. </w:t>
      </w:r>
      <w:r>
        <w:rPr>
          <w:rFonts w:ascii="Times New Roman" w:cs="Times New Roman" w:eastAsia="Times New Roman" w:hAnsi="Times New Roman"/>
          <w:sz w:val="18"/>
          <w:szCs w:val="18"/>
          <w:color w:val="auto"/>
        </w:rPr>
        <w:t>If any shares of Common Stock required to be reserved for purposes of exercise of this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registration with or approval of any governmental authority under any applicable law (other than the Act) before such shares of Common Stock may be issued upon exercise, the Company shall, at its expense and as expeditiously as possible, use its best efforts to cause such shares of Common Stock to be duly registered or approved, as the case may be. At any such time as such shares of Common Stock are listed on any national securities exchange, the Company shall, at its expense, obtain promptly and maintain the approval for listing on each such exchange, upon official notice of issuance, the shares of Common Stock issuable upon exercise of the Warrant and maintain the listing of such shares of Common Stock after their issuance; and the Company shall also list on such national securities exchange, shall register under the Securities Exchange Act of 1934, as amended and shall maintain such listing of, any other securities that at any time are issuable upon exercise of the Warrant, if and at the time that any securities of the same class shall be listed on such national securities exchange by the Company.</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2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Replacement of Warrants. </w:t>
      </w:r>
      <w:r>
        <w:rPr>
          <w:rFonts w:ascii="Times New Roman" w:cs="Times New Roman" w:eastAsia="Times New Roman" w:hAnsi="Times New Roman"/>
          <w:sz w:val="18"/>
          <w:szCs w:val="18"/>
          <w:color w:val="auto"/>
        </w:rPr>
        <w:t>Upon receipt of evidence reasonably satisfactory to the Company of the loss, theft, destruction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 at Holder’s expense.</w:t>
      </w:r>
    </w:p>
    <w:p>
      <w:pPr>
        <w:spacing w:after="0" w:line="179" w:lineRule="exact"/>
        <w:rPr>
          <w:rFonts w:ascii="Times New Roman" w:cs="Times New Roman" w:eastAsia="Times New Roman" w:hAnsi="Times New Roman"/>
          <w:sz w:val="18"/>
          <w:szCs w:val="18"/>
          <w:color w:val="auto"/>
        </w:rPr>
      </w:pPr>
    </w:p>
    <w:p>
      <w:pPr>
        <w:ind w:left="-656" w:firstLine="656"/>
        <w:spacing w:after="0" w:line="284" w:lineRule="auto"/>
        <w:tabs>
          <w:tab w:leader="none" w:pos="10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Except as otherwise expressly provided herein, all notices and other communications provided for hereunder shall be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and delivered by hand or overnight courier service or sent by facsimile or email as follows:</w:t>
      </w:r>
    </w:p>
    <w:p>
      <w:pPr>
        <w:spacing w:after="0" w:line="160" w:lineRule="exact"/>
        <w:rPr>
          <w:rFonts w:ascii="Times New Roman" w:cs="Times New Roman" w:eastAsia="Times New Roman" w:hAnsi="Times New Roman"/>
          <w:sz w:val="18"/>
          <w:szCs w:val="18"/>
          <w:color w:val="auto"/>
        </w:rPr>
      </w:pPr>
    </w:p>
    <w:p>
      <w:pPr>
        <w:ind w:left="1564" w:hanging="916"/>
        <w:spacing w:after="0"/>
        <w:tabs>
          <w:tab w:leader="none" w:pos="15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his, her, or its address (and email address) set forth on the signature page to this Warrant.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7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by hand or overnight courier service shall be deemed to have been given when received and notices sent by electronic communications, shall be effective upon confirmation received by the sender, including transmittal coded “advise when received” or words of similar meaning. Any party hereto may by notice so given change its address for future notice hereunder.</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1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as Stockholder. </w:t>
      </w:r>
      <w:r>
        <w:rPr>
          <w:rFonts w:ascii="Times New Roman" w:cs="Times New Roman" w:eastAsia="Times New Roman" w:hAnsi="Times New Roman"/>
          <w:sz w:val="18"/>
          <w:szCs w:val="18"/>
          <w:color w:val="auto"/>
        </w:rPr>
        <w:t>Until the exercise of this Warrant, Holder shall not have or exercise any rights by virtue hereof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 of the Company unless otherwise acquired. Without limiting the generality of the foregoing, and except as otherwise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no dividends shall accrue to the shares of Common Stock or other equity securities underlying this Warrant until the exercise hereof and the purchase of the underlying shares of Common Stock or other equity securities, at which point dividends shall begin to accrue with respect to such shares of Common Stock or other equity securities from and after the date such shares of Common Stock or other equity securities are so purchased. Nothing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limit the right of Holder to be provided the notices required to be provided pursuant to the terms of this Warrant.</w:t>
      </w:r>
    </w:p>
    <w:p>
      <w:pPr>
        <w:spacing w:after="0" w:line="182" w:lineRule="exact"/>
        <w:rPr>
          <w:rFonts w:ascii="Times New Roman" w:cs="Times New Roman" w:eastAsia="Times New Roman" w:hAnsi="Times New Roman"/>
          <w:sz w:val="18"/>
          <w:szCs w:val="18"/>
          <w:color w:val="auto"/>
        </w:rPr>
      </w:pPr>
    </w:p>
    <w:p>
      <w:pPr>
        <w:ind w:left="-656" w:firstLine="656"/>
        <w:spacing w:after="0" w:line="284" w:lineRule="auto"/>
        <w:tabs>
          <w:tab w:leader="none" w:pos="9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in this Warrant are for purposes of reference only and shall not limit or otherwise affect the meaning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this Warrant.</w:t>
      </w:r>
    </w:p>
    <w:p>
      <w:pPr>
        <w:sectPr>
          <w:pgSz w:w="11900" w:h="16838" w:orient="portrait"/>
          <w:cols w:equalWidth="0" w:num="1">
            <w:col w:w="10584"/>
          </w:cols>
          <w:pgMar w:left="976" w:top="470" w:right="339" w:bottom="1440" w:gutter="0" w:footer="0" w:header="0"/>
        </w:sectPr>
      </w:pPr>
    </w:p>
    <w:bookmarkStart w:id="108" w:name="page109"/>
    <w:bookmarkEnd w:id="108"/>
    <w:p>
      <w:pPr>
        <w:ind w:firstLine="656"/>
        <w:spacing w:after="0" w:line="284" w:lineRule="auto"/>
        <w:tabs>
          <w:tab w:leader="none" w:pos="16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Warrant and all actions arising out of or in connection with this Warrant shall be governed by and construed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laws of the State of Delaware, without application of conflicts of law principles thereunder.</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8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or Waiver. </w:t>
      </w:r>
      <w:r>
        <w:rPr>
          <w:rFonts w:ascii="Times New Roman" w:cs="Times New Roman" w:eastAsia="Times New Roman" w:hAnsi="Times New Roman"/>
          <w:sz w:val="18"/>
          <w:szCs w:val="18"/>
          <w:color w:val="auto"/>
        </w:rPr>
        <w:t>Any provision of this Warrant may be amended, waived or modified (either generally or in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instance, either retroactively or prospectively, and either for a specified period of time or indefinitely) only by an instrument in writing signed by the Company and Holder. Any amendment, waiver or modification effected in accordance with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shall be binding upon Holder, each future holder of the Warrant or the Warrant Stock and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7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Days. </w:t>
      </w:r>
      <w:r>
        <w:rPr>
          <w:rFonts w:ascii="Times New Roman" w:cs="Times New Roman" w:eastAsia="Times New Roman" w:hAnsi="Times New Roman"/>
          <w:sz w:val="18"/>
          <w:szCs w:val="18"/>
          <w:color w:val="auto"/>
        </w:rPr>
        <w:t>This Warrant shall be exercisable as provided for herein, except that in the event that the Expiration Date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shall fall on a Saturday, Sunday and/or and United States federally recognized Holiday, the Expiration Date for this Warrant shall be extended to 5:00 p.m. Pacific time on the business day following such Saturday, Sunday or recognized Holiday.</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5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 and Assigns. </w:t>
      </w:r>
      <w:r>
        <w:rPr>
          <w:rFonts w:ascii="Times New Roman" w:cs="Times New Roman" w:eastAsia="Times New Roman" w:hAnsi="Times New Roman"/>
          <w:sz w:val="18"/>
          <w:szCs w:val="18"/>
          <w:color w:val="auto"/>
        </w:rPr>
        <w:t>The terms and provisions of this Warrant shall incur to the benefit of, and be binding upon,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hereof and their respective permitted successors and assigns.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6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Attorneys’ Fees. </w:t>
      </w:r>
      <w:r>
        <w:rPr>
          <w:rFonts w:ascii="Times New Roman" w:cs="Times New Roman" w:eastAsia="Times New Roman" w:hAnsi="Times New Roman"/>
          <w:sz w:val="18"/>
          <w:szCs w:val="18"/>
          <w:color w:val="auto"/>
        </w:rPr>
        <w:t>If any action at law or in equity is necessary to enforce or interpret the terms of this Warrant the adjudicating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its discretion order that the non-prevailing party, as determined by such adjudicating party, reimburse the prevailing party for reasonable attorney’s fees and costs in addition to any other relief to which such prevailing party may be entitled.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240"/>
          </w:cols>
          <w:pgMar w:left="320" w:top="47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signed by its duly authorized officer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5715</wp:posOffset>
            </wp:positionV>
            <wp:extent cx="2991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-121920</wp:posOffset>
            </wp:positionV>
            <wp:extent cx="29914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22860</wp:posOffset>
            </wp:positionV>
            <wp:extent cx="29914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-121920</wp:posOffset>
            </wp:positionV>
            <wp:extent cx="29914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counter-signature below, Holder hereby agrees to the foregoing terms and conditions set forth in this Warrant.</w:t>
      </w:r>
    </w:p>
    <w:p>
      <w:pPr>
        <w:spacing w:after="0" w:line="22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191135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180340</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0300"/>
          </w:cols>
          <w:pgMar w:left="980" w:top="468" w:right="6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FORM</w:t>
      </w:r>
    </w:p>
    <w:p>
      <w:pPr>
        <w:spacing w:after="0" w:line="225" w:lineRule="exact"/>
        <w:rPr>
          <w:sz w:val="20"/>
          <w:szCs w:val="20"/>
          <w:color w:val="auto"/>
        </w:rPr>
      </w:pPr>
    </w:p>
    <w:p>
      <w:pPr>
        <w:ind w:left="100"/>
        <w:spacing w:after="0"/>
        <w:tabs>
          <w:tab w:leader="none" w:pos="8300" w:val="left"/>
        </w:tabs>
        <w:rPr>
          <w:sz w:val="20"/>
          <w:szCs w:val="20"/>
          <w:color w:val="auto"/>
        </w:rPr>
      </w:pPr>
      <w:r>
        <w:rPr>
          <w:rFonts w:ascii="Times New Roman" w:cs="Times New Roman" w:eastAsia="Times New Roman" w:hAnsi="Times New Roman"/>
          <w:sz w:val="18"/>
          <w:szCs w:val="18"/>
          <w:b w:val="1"/>
          <w:bCs w:val="1"/>
          <w:color w:val="auto"/>
        </w:rPr>
        <w:t>To: EXPION360 INC.</w:t>
      </w:r>
      <w:r>
        <w:rPr>
          <w:sz w:val="20"/>
          <w:szCs w:val="20"/>
          <w:color w:val="auto"/>
        </w:rPr>
        <w:tab/>
      </w:r>
      <w:r>
        <w:rPr>
          <w:rFonts w:ascii="Times New Roman" w:cs="Times New Roman" w:eastAsia="Times New Roman" w:hAnsi="Times New Roman"/>
          <w:sz w:val="17"/>
          <w:szCs w:val="17"/>
          <w:color w:val="auto"/>
        </w:rPr>
        <w:t xml:space="preserve">Dated: </w:t>
      </w:r>
      <w:r>
        <w:rPr>
          <w:rFonts w:ascii="Times New Roman" w:cs="Times New Roman" w:eastAsia="Times New Roman" w:hAnsi="Times New Roman"/>
          <w:sz w:val="17"/>
          <w:szCs w:val="17"/>
          <w:u w:val="single" w:color="auto"/>
          <w:color w:val="auto"/>
        </w:rPr>
        <w:t>______________</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By checking the box below, the undersigned hereby irrevocably elects:</w:t>
      </w:r>
    </w:p>
    <w:p>
      <w:pPr>
        <w:spacing w:after="0" w:line="225" w:lineRule="exact"/>
        <w:rPr>
          <w:sz w:val="20"/>
          <w:szCs w:val="20"/>
          <w:color w:val="auto"/>
        </w:rPr>
      </w:pPr>
    </w:p>
    <w:p>
      <w:pPr>
        <w:ind w:left="1920" w:hanging="387"/>
        <w:spacing w:after="0" w:line="282" w:lineRule="auto"/>
        <w:tabs>
          <w:tab w:leader="none" w:pos="1920"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to purchase _______ shares of Common Stock, and herewith makes payment of $_________by cash, check or wire transfer, representing the aggregate Purchase Price therefor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of the attached Warrant.</w:t>
      </w:r>
    </w:p>
    <w:p>
      <w:pPr>
        <w:spacing w:after="0" w:line="161" w:lineRule="exact"/>
        <w:rPr>
          <w:rFonts w:ascii="MS PGothic" w:cs="MS PGothic" w:eastAsia="MS PGothic" w:hAnsi="MS PGothic"/>
          <w:sz w:val="18"/>
          <w:szCs w:val="18"/>
          <w:color w:val="auto"/>
        </w:rPr>
      </w:pPr>
    </w:p>
    <w:p>
      <w:pPr>
        <w:ind w:left="1920" w:hanging="387"/>
        <w:spacing w:after="0" w:line="282" w:lineRule="auto"/>
        <w:tabs>
          <w:tab w:leader="none" w:pos="1920"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to exercise the Conversion Right with respect to _________ shares of Common Stock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of the attached Warrant.</w:t>
      </w:r>
    </w:p>
    <w:p>
      <w:pPr>
        <w:spacing w:after="0" w:line="162" w:lineRule="exact"/>
        <w:rPr>
          <w:sz w:val="20"/>
          <w:szCs w:val="20"/>
          <w:color w:val="auto"/>
        </w:rPr>
      </w:pPr>
    </w:p>
    <w:p>
      <w:pPr>
        <w:jc w:val="both"/>
        <w:ind w:right="20" w:firstLine="894"/>
        <w:spacing w:after="0" w:line="282" w:lineRule="auto"/>
        <w:rPr>
          <w:sz w:val="20"/>
          <w:szCs w:val="20"/>
          <w:color w:val="auto"/>
        </w:rPr>
      </w:pPr>
      <w:r>
        <w:rPr>
          <w:rFonts w:ascii="Times New Roman" w:cs="Times New Roman" w:eastAsia="Times New Roman" w:hAnsi="Times New Roman"/>
          <w:sz w:val="18"/>
          <w:szCs w:val="18"/>
          <w:color w:val="auto"/>
        </w:rPr>
        <w:t>Please issue a certificate or certificates (if the shares of Warrant Stock are certificated) reflecting the issuance of said shares of Common Stock in the name of the undersigned or in such other name as is specified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893"/>
        <w:spacing w:after="0" w:line="266" w:lineRule="auto"/>
        <w:rPr>
          <w:sz w:val="20"/>
          <w:szCs w:val="20"/>
          <w:color w:val="auto"/>
        </w:rPr>
      </w:pPr>
      <w:r>
        <w:rPr>
          <w:rFonts w:ascii="Times New Roman" w:cs="Times New Roman" w:eastAsia="Times New Roman" w:hAnsi="Times New Roman"/>
          <w:sz w:val="18"/>
          <w:szCs w:val="18"/>
          <w:color w:val="auto"/>
        </w:rPr>
        <w:t>The undersigned represents that the aforesaid shares of Common Stock are being acquired for the account of the undersigned for investment and not with a view to, or for resale in connection with, the distribution thereof and that the undersigned has no present intention of distributing or reselling such shares of Common Stock except in compliance with applicable securities laws.</w:t>
      </w:r>
    </w:p>
    <w:p>
      <w:pPr>
        <w:spacing w:after="0" w:line="17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(Entity name, if applicable)</w:t>
      </w:r>
    </w:p>
    <w:p>
      <w:pPr>
        <w:spacing w:after="0" w:line="207"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____________________</w:t>
      </w:r>
    </w:p>
    <w:p>
      <w:pPr>
        <w:spacing w:after="0" w:line="9"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tab/>
        <w:t>____________________</w:t>
      </w:r>
    </w:p>
    <w:p>
      <w:pPr>
        <w:sectPr>
          <w:pgSz w:w="11900" w:h="16838" w:orient="portrait"/>
          <w:cols w:equalWidth="0" w:num="1">
            <w:col w:w="11240"/>
          </w:cols>
          <w:pgMar w:left="320" w:top="81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S-1 (No. 333-262285) and the Registration Statement on Form S-8 (No. 333-268016) of our report dated March 30, 2023, with respect to the consolidated financial statements of Expion360 Inc. included in this Annual Report (Form 10-K) for the year ended December 31, 2022.</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M&amp;K CPAS, PLLC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www.mkacpas.com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OF THE SECURITIES EXCHANGE ACT OF 1934, AS AMENDED,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Schaffner, certify that:</w:t>
      </w:r>
    </w:p>
    <w:p>
      <w:pPr>
        <w:spacing w:after="0" w:line="117"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(the “Report”) of Expion360 Inc. (the “Company”);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p>
      <w:pPr>
        <w:spacing w:after="0" w:line="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2023</w:t>
            </w:r>
          </w:p>
        </w:tc>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Brian Schaffner</w:t>
            </w:r>
          </w:p>
        </w:tc>
      </w:tr>
      <w:tr>
        <w:trPr>
          <w:trHeight w:val="191"/>
        </w:trPr>
        <w:tc>
          <w:tcPr>
            <w:tcW w:w="7000" w:type="dxa"/>
            <w:vAlign w:val="bottom"/>
          </w:tcPr>
          <w:p>
            <w:pPr>
              <w:spacing w:after="0"/>
              <w:rPr>
                <w:sz w:val="16"/>
                <w:szCs w:val="16"/>
                <w:color w:val="auto"/>
              </w:rPr>
            </w:pPr>
          </w:p>
        </w:tc>
        <w:tc>
          <w:tcPr>
            <w:tcW w:w="4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Schaffner</w:t>
            </w:r>
          </w:p>
        </w:tc>
      </w:tr>
      <w:tr>
        <w:trPr>
          <w:trHeight w:val="216"/>
        </w:trPr>
        <w:tc>
          <w:tcPr>
            <w:tcW w:w="70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00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OF THE SECURITIES EXCHANGE ACT OF 1934, AS AMENDED,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Aydelott, certify that:</w:t>
      </w:r>
    </w:p>
    <w:p>
      <w:pPr>
        <w:spacing w:after="0" w:line="117"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(the “Report”) of Expion360 Inc. (the “Company”);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Report that has materially affected, or is reasonably likely to materially affect, the Company’s internal control over financial reporting; and</w:t>
      </w:r>
    </w:p>
    <w:p>
      <w:pPr>
        <w:spacing w:after="0" w:line="8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2023</w:t>
            </w:r>
          </w:p>
        </w:tc>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Greg Aydelott</w:t>
            </w:r>
          </w:p>
        </w:tc>
      </w:tr>
      <w:tr>
        <w:trPr>
          <w:trHeight w:val="191"/>
        </w:trPr>
        <w:tc>
          <w:tcPr>
            <w:tcW w:w="7000" w:type="dxa"/>
            <w:vAlign w:val="bottom"/>
          </w:tcPr>
          <w:p>
            <w:pPr>
              <w:spacing w:after="0"/>
              <w:rPr>
                <w:sz w:val="16"/>
                <w:szCs w:val="16"/>
                <w:color w:val="auto"/>
              </w:rPr>
            </w:pPr>
          </w:p>
        </w:tc>
        <w:tc>
          <w:tcPr>
            <w:tcW w:w="4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Greg Aydelott</w:t>
            </w:r>
          </w:p>
        </w:tc>
      </w:tr>
      <w:tr>
        <w:trPr>
          <w:trHeight w:val="216"/>
        </w:trPr>
        <w:tc>
          <w:tcPr>
            <w:tcW w:w="70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Brian Schaffner, the Chief Executive Officer of Expion360 Inc. (the “Company”), hereby certifies, that, to his knowledge:</w:t>
      </w:r>
    </w:p>
    <w:p>
      <w:pPr>
        <w:spacing w:after="0" w:line="81"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2022 (the “Report”) of the Company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2023</w:t>
            </w:r>
          </w:p>
        </w:tc>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Brian Schaffner</w:t>
            </w:r>
          </w:p>
        </w:tc>
      </w:tr>
      <w:tr>
        <w:trPr>
          <w:trHeight w:val="191"/>
        </w:trPr>
        <w:tc>
          <w:tcPr>
            <w:tcW w:w="7000" w:type="dxa"/>
            <w:vAlign w:val="bottom"/>
          </w:tcPr>
          <w:p>
            <w:pPr>
              <w:spacing w:after="0"/>
              <w:rPr>
                <w:sz w:val="16"/>
                <w:szCs w:val="16"/>
                <w:color w:val="auto"/>
              </w:rPr>
            </w:pPr>
          </w:p>
        </w:tc>
        <w:tc>
          <w:tcPr>
            <w:tcW w:w="4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Schaffner</w:t>
            </w:r>
          </w:p>
        </w:tc>
      </w:tr>
      <w:tr>
        <w:trPr>
          <w:trHeight w:val="216"/>
        </w:trPr>
        <w:tc>
          <w:tcPr>
            <w:tcW w:w="70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00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Greg Aydelott, the Chief Financial Officer of Expion360 Inc. (the “Company”), hereby certifies, that, to his knowledge:</w:t>
      </w:r>
    </w:p>
    <w:p>
      <w:pPr>
        <w:spacing w:after="0" w:line="81"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2022 (the “Report”) of the Company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30, 2023</w:t>
            </w:r>
          </w:p>
        </w:tc>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Greg Aydelott</w:t>
            </w:r>
          </w:p>
        </w:tc>
      </w:tr>
      <w:tr>
        <w:trPr>
          <w:trHeight w:val="191"/>
        </w:trPr>
        <w:tc>
          <w:tcPr>
            <w:tcW w:w="7000" w:type="dxa"/>
            <w:vAlign w:val="bottom"/>
          </w:tcPr>
          <w:p>
            <w:pPr>
              <w:spacing w:after="0"/>
              <w:rPr>
                <w:sz w:val="16"/>
                <w:szCs w:val="16"/>
                <w:color w:val="auto"/>
              </w:rPr>
            </w:pPr>
          </w:p>
        </w:tc>
        <w:tc>
          <w:tcPr>
            <w:tcW w:w="4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Greg Aydelott</w:t>
            </w:r>
          </w:p>
        </w:tc>
      </w:tr>
      <w:tr>
        <w:trPr>
          <w:trHeight w:val="216"/>
        </w:trPr>
        <w:tc>
          <w:tcPr>
            <w:tcW w:w="700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o"/>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lowerRoman"/>
      <w:start w:val="2"/>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lowerRoman"/>
      <w:start w:val="2"/>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lvl w:ilvl="1">
      <w:lvlJc w:val="left"/>
      <w:lvlText w:val="(%2)"/>
      <w:numFmt w:val="decimal"/>
      <w:start w:val="1"/>
    </w:lvl>
  </w:abstractNum>
  <w:abstractNum w:abstractNumId="27">
    <w:nsid w:val="6DE91B18"/>
    <w:multiLevelType w:val="hybridMultilevel"/>
    <w:lvl w:ilvl="0">
      <w:lvlJc w:val="left"/>
      <w:lvlText w:val="(%1)"/>
      <w:numFmt w:val="decimal"/>
      <w:start w:val="7"/>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lowerRoman"/>
      <w:start w:val="2"/>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decimal"/>
      <w:start w:val="7"/>
    </w:lvl>
  </w:abstractNum>
  <w:abstractNum w:abstractNumId="34">
    <w:nsid w:val="3DC240FB"/>
    <w:multiLevelType w:val="hybridMultilevel"/>
    <w:lvl w:ilvl="0">
      <w:lvlJc w:val="left"/>
      <w:lvlText w:val="%1."/>
      <w:numFmt w:val="decimal"/>
      <w:start w:val="8"/>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
    <w:nsid w:val="75C6C33A"/>
    <w:multiLevelType w:val="hybridMultilevel"/>
    <w:lvl w:ilvl="0">
      <w:lvlJc w:val="left"/>
      <w:lvlText w:val="%1"/>
      <w:numFmt w:val="lowerLetter"/>
      <w:start w:val="1"/>
    </w:lvl>
    <w:lvl w:ilvl="1">
      <w:lvlJc w:val="left"/>
      <w:lvlText w:val="(%2)"/>
      <w:numFmt w:val="lowerRoman"/>
      <w:start w:val="2"/>
    </w:lvl>
  </w:abstractNum>
  <w:abstractNum w:abstractNumId="38">
    <w:nsid w:val="12E685FB"/>
    <w:multiLevelType w:val="hybridMultilevel"/>
    <w:lvl w:ilvl="0">
      <w:lvlJc w:val="left"/>
      <w:lvlText w:val="(%1)"/>
      <w:numFmt w:val="lowerLetter"/>
      <w:start w:val="4"/>
    </w:lvl>
    <w:lvl w:ilvl="1">
      <w:lvlJc w:val="left"/>
      <w:lvlText w:val="%2"/>
      <w:numFmt w:val="lowerRoman"/>
      <w:start w:val="1"/>
    </w:lvl>
  </w:abstractNum>
  <w:abstractNum w:abstractNumId="39">
    <w:nsid w:val="70C6A529"/>
    <w:multiLevelType w:val="hybridMultilevel"/>
    <w:lvl w:ilvl="0">
      <w:lvlJc w:val="left"/>
      <w:lvlText w:val="(%1)"/>
      <w:numFmt w:val="lowerLetter"/>
      <w:start w:val="5"/>
    </w:lvl>
  </w:abstractNum>
  <w:abstractNum w:abstractNumId="40">
    <w:nsid w:val="520EEDD1"/>
    <w:multiLevelType w:val="hybridMultilevel"/>
    <w:lvl w:ilvl="0">
      <w:lvlJc w:val="left"/>
      <w:lvlText w:val="%1"/>
      <w:numFmt w:val="decimal"/>
      <w:start w:val="1"/>
    </w:lvl>
    <w:lvl w:ilvl="1">
      <w:lvlJc w:val="left"/>
      <w:lvlText w:val="(%2)"/>
      <w:numFmt w:val="lowerLetter"/>
      <w:start w:val="6"/>
    </w:lvl>
  </w:abstractNum>
  <w:abstractNum w:abstractNumId="41">
    <w:nsid w:val="374A3FE6"/>
    <w:multiLevelType w:val="hybridMultilevel"/>
    <w:lvl w:ilvl="0">
      <w:lvlJc w:val="left"/>
      <w:lvlText w:val="%1."/>
      <w:numFmt w:val="decimal"/>
      <w:start w:val="2"/>
    </w:lvl>
    <w:lvl w:ilvl="1">
      <w:lvlJc w:val="left"/>
      <w:lvlText w:val="%2"/>
      <w:numFmt w:val="lowerLetter"/>
      <w:start w:val="1"/>
    </w:lvl>
  </w:abstractNum>
  <w:abstractNum w:abstractNumId="42">
    <w:nsid w:val="4F4EF005"/>
    <w:multiLevelType w:val="hybridMultilevel"/>
    <w:lvl w:ilvl="0">
      <w:lvlJc w:val="left"/>
      <w:lvlText w:val="%1."/>
      <w:numFmt w:val="decimal"/>
      <w:start w:val="3"/>
    </w:lvl>
  </w:abstractNum>
  <w:abstractNum w:abstractNumId="43">
    <w:nsid w:val="23F9C1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5">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6">
    <w:nsid w:val="3938657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lvl w:ilvl="1">
      <w:lvlJc w:val="left"/>
      <w:lvlText w:val="(%2)"/>
      <w:numFmt w:val="lowerLetter"/>
      <w:start w:val="1"/>
    </w:lvl>
  </w:abstractNum>
  <w:abstractNum w:abstractNumId="50">
    <w:nsid w:val="47398C89"/>
    <w:multiLevelType w:val="hybridMultilevel"/>
    <w:lvl w:ilvl="0">
      <w:lvlJc w:val="left"/>
      <w:lvlText w:val="(%1)"/>
      <w:numFmt w:val="lowerLetter"/>
      <w:start w:val="3"/>
    </w:lvl>
    <w:lvl w:ilvl="1">
      <w:lvlJc w:val="left"/>
      <w:lvlText w:val="(%2)"/>
      <w:numFmt w:val="lowerLetter"/>
      <w:start w:val="9"/>
    </w:lvl>
  </w:abstractNum>
  <w:abstractNum w:abstractNumId="51">
    <w:nsid w:val="354FE9F9"/>
    <w:multiLevelType w:val="hybridMultilevel"/>
    <w:lvl w:ilvl="0">
      <w:lvlJc w:val="left"/>
      <w:lvlText w:val="(%1)"/>
      <w:numFmt w:val="lowerRoman"/>
      <w:start w:val="2"/>
    </w:lvl>
  </w:abstractNum>
  <w:abstractNum w:abstractNumId="52">
    <w:nsid w:val="15B5AF5C"/>
    <w:multiLevelType w:val="hybridMultilevel"/>
    <w:lvl w:ilvl="0">
      <w:lvlJc w:val="left"/>
      <w:lvlText w:val="(%1)"/>
      <w:numFmt w:val="lowerLetter"/>
      <w:start w:val="4"/>
    </w:lvl>
  </w:abstractNum>
  <w:abstractNum w:abstractNumId="53">
    <w:nsid w:val="741226BB"/>
    <w:multiLevelType w:val="hybridMultilevel"/>
    <w:lvl w:ilvl="0">
      <w:lvlJc w:val="left"/>
      <w:lvlText w:val="%1"/>
      <w:numFmt w:val="decimal"/>
      <w:start w:val="1"/>
    </w:lvl>
    <w:lvl w:ilvl="1">
      <w:lvlJc w:val="left"/>
      <w:lvlText w:val="(%2)"/>
      <w:numFmt w:val="lowerLetter"/>
      <w:start w:val="6"/>
    </w:lvl>
  </w:abstractNum>
  <w:abstractNum w:abstractNumId="54">
    <w:nsid w:val="D34B6A8"/>
    <w:multiLevelType w:val="hybridMultilevel"/>
    <w:lvl w:ilvl="0">
      <w:lvlJc w:val="left"/>
      <w:lvlText w:val="%1."/>
      <w:numFmt w:val="decimal"/>
      <w:start w:val="2"/>
    </w:lvl>
    <w:lvl w:ilvl="1">
      <w:lvlJc w:val="left"/>
      <w:lvlText w:val="%2"/>
      <w:numFmt w:val="lowerLetter"/>
      <w:start w:val="1"/>
    </w:lvl>
  </w:abstractNum>
  <w:abstractNum w:abstractNumId="55">
    <w:nsid w:val="10233C99"/>
    <w:multiLevelType w:val="hybridMultilevel"/>
    <w:lvl w:ilvl="0">
      <w:lvlJc w:val="left"/>
      <w:lvlText w:val="%1."/>
      <w:numFmt w:val="decimal"/>
      <w:start w:val="3"/>
    </w:lvl>
  </w:abstractNum>
  <w:abstractNum w:abstractNumId="56">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61574095"/>
    <w:multiLevelType w:val="hybridMultilevel"/>
    <w:lvl w:ilvl="0">
      <w:lvlJc w:val="left"/>
      <w:lvlText w:val="(%1)"/>
      <w:numFmt w:val="lowerLetter"/>
      <w:start w:val="2"/>
    </w:lvl>
  </w:abstractNum>
  <w:abstractNum w:abstractNumId="58">
    <w:nsid w:val="7E0C57B1"/>
    <w:multiLevelType w:val="hybridMultilevel"/>
    <w:lvl w:ilvl="0">
      <w:lvlJc w:val="left"/>
      <w:lvlText w:val="%1."/>
      <w:numFmt w:val="decimal"/>
      <w:start w:val="7"/>
    </w:lvl>
  </w:abstractNum>
  <w:abstractNum w:abstractNumId="59">
    <w:nsid w:val="77AE35EB"/>
    <w:multiLevelType w:val="hybridMultilevel"/>
    <w:lvl w:ilvl="0">
      <w:lvlJc w:val="left"/>
      <w:lvlText w:val="%1."/>
      <w:numFmt w:val="decimal"/>
      <w:start w:val="8"/>
    </w:lvl>
    <w:lvl w:ilvl="1">
      <w:lvlJc w:val="left"/>
      <w:lvlText w:val="(%2)"/>
      <w:numFmt w:val="lowerLetter"/>
      <w:start w:val="1"/>
    </w:lvl>
  </w:abstractNum>
  <w:abstractNum w:abstractNumId="60">
    <w:nsid w:val="579BE4F1"/>
    <w:multiLevelType w:val="hybridMultilevel"/>
    <w:lvl w:ilvl="0">
      <w:lvlJc w:val="left"/>
      <w:lvlText w:val="%1."/>
      <w:numFmt w:val="decimal"/>
      <w:start w:val="14"/>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5"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jpe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jpe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72" Type="http://schemas.openxmlformats.org/officeDocument/2006/relationships/hyperlink" Target="https://www.sec.gov/Archives/edgar/data/1894954/000190359622000125/f2sexpion121721s1ex3_1.htm" TargetMode="External"/><Relationship Id="rId73" Type="http://schemas.openxmlformats.org/officeDocument/2006/relationships/hyperlink" Target="https://www.sec.gov/Archives/edgar/data/1894954/000190359622000125/f2sexpion121721s1ex3_2.htm" TargetMode="External"/><Relationship Id="rId74" Type="http://schemas.openxmlformats.org/officeDocument/2006/relationships/hyperlink" Target="https://www.sec.gov/Archives/edgar/data/1894954/000190359622000125/f2sexpion121721s1ex4_1.htm" TargetMode="External"/><Relationship Id="rId75" Type="http://schemas.openxmlformats.org/officeDocument/2006/relationships/hyperlink" Target="https://www.sec.gov/Archives/edgar/data/1894954/000190359622000125/f2sexpion121721s1ex4_4.htm" TargetMode="External"/><Relationship Id="rId76" Type="http://schemas.openxmlformats.org/officeDocument/2006/relationships/hyperlink" Target="https://www.sec.gov/Archives/edgar/data/1894954/000190359622000125/f2sexpion121721s1ex4_5.htm" TargetMode="External"/><Relationship Id="rId77" Type="http://schemas.openxmlformats.org/officeDocument/2006/relationships/hyperlink" Target="https://www.sec.gov/Archives/edgar/data/1894954/000190359622000125/f2sexpion121721s1ex10_1.htm" TargetMode="External"/><Relationship Id="rId78" Type="http://schemas.openxmlformats.org/officeDocument/2006/relationships/hyperlink" Target="https://www.sec.gov/Archives/edgar/data/1894954/000190359622000125/f2sexpion121721s1ex10_2.htm" TargetMode="External"/><Relationship Id="rId79" Type="http://schemas.openxmlformats.org/officeDocument/2006/relationships/hyperlink" Target="https://www.sec.gov/Archives/edgar/data/1894954/000190359622000125/f2sexpion121721s1ex10_3.htm" TargetMode="External"/><Relationship Id="rId80" Type="http://schemas.openxmlformats.org/officeDocument/2006/relationships/hyperlink" Target="https://www.sec.gov/Archives/edgar/data/1894954/000190359622000125/f2sexpion121721s1ex10_7.htm" TargetMode="External"/><Relationship Id="rId81" Type="http://schemas.openxmlformats.org/officeDocument/2006/relationships/hyperlink" Target="https://www.sec.gov/Archives/edgar/data/1894954/000190359622000125/f2sexpion121721s1ex10_8.htm" TargetMode="External"/><Relationship Id="rId82" Type="http://schemas.openxmlformats.org/officeDocument/2006/relationships/hyperlink" Target="https://www.sec.gov/Archives/edgar/data/1894954/000190359622000125/f2sexpion121721s1ex10_11.htm" TargetMode="External"/><Relationship Id="rId83" Type="http://schemas.openxmlformats.org/officeDocument/2006/relationships/hyperlink" Target="https://www.sec.gov/Archives/edgar/data/1894954/000190359622000149/sfsxpon8k040522ex1_1.htm" TargetMode="External"/><Relationship Id="rId84" Type="http://schemas.openxmlformats.org/officeDocument/2006/relationships/hyperlink" Target="https://www.sec.gov/Archives/edgar/data/1894954/000190359623000096/ex10_1.htm" TargetMode="External"/><Relationship Id="rId86" Type="http://schemas.openxmlformats.org/officeDocument/2006/relationships/hyperlink" Target="https://www.sec.gov/Archives/edgar/data/1894954/000190359623000096/ex10_2.htm" TargetMode="External"/><Relationship Id="rId87" Type="http://schemas.openxmlformats.org/officeDocument/2006/relationships/hyperlink" Target="https://www.sec.gov/Archives/edgar/data/1894954/000190359623000096/ex10_3.htm" TargetMode="External"/><Relationship Id="rId88" Type="http://schemas.openxmlformats.org/officeDocument/2006/relationships/hyperlink" Target="https://www.sec.gov/Archives/edgar/data/1894954/000190359623000096/ex10_4.htm" TargetMode="External"/><Relationship Id="rId89" Type="http://schemas.openxmlformats.org/officeDocument/2006/relationships/hyperlink" Target="https://www.sec.gov/Archives/edgar/data/1894954/000190359622000125/f2sexpion121721s1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2023-03-30T15:52:08Z</dcterms:created>
  <dcterms:modified xsi:type="dcterms:W3CDTF">2023-03-30T15:52:08Z</dcterms:modified>
</cp:coreProperties>
</file>