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30, 2026</w:t>
      </w:r>
    </w:p>
    <w:p>
      <w:pPr>
        <w:spacing w:after="0" w:line="1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333-299630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2" w:lineRule="exact"/>
        <w:rPr>
          <w:sz w:val="24"/>
          <w:szCs w:val="24"/>
          <w:color w:val="auto"/>
        </w:rPr>
      </w:pPr>
    </w:p>
    <w:tbl>
      <w:tblPr>
        <w:tblLayout w:type="fixed"/>
        <w:tblInd w:w="1740" w:type="dxa"/>
        <w:tblCellMar>
          <w:top w:w="0" w:type="dxa"/>
          <w:left w:w="0" w:type="dxa"/>
          <w:bottom w:w="0" w:type="dxa"/>
          <w:right w:w="0" w:type="dxa"/>
        </w:tblCellMar>
      </w:tblPr>
      <w:tr>
        <w:trPr>
          <w:trHeight w:val="220"/>
        </w:trPr>
        <w:tc>
          <w:tcPr>
            <w:tcW w:w="400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81-2701049</w:t>
            </w:r>
          </w:p>
        </w:tc>
      </w:tr>
      <w:tr>
        <w:trPr>
          <w:trHeight w:val="216"/>
        </w:trPr>
        <w:tc>
          <w:tcPr>
            <w:tcW w:w="40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5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SW Deerhound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Redmond, Oregon 97756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(541) 797-6714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Kevin Sellers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SW Deerhound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Redmond, Oregon 97756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(541) 797-6714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Ryan C. Wilkins,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Amanda McFall,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Stradling Yocca Carlson &amp; Rauth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660 Newport Center Drive, Suite 1600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Newport Beach, California 92660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725-4000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or at one time as determined by the Registrant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after the effective date of this 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4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filing this pre-effective Amendment No. 1 (this “Amendment”) to the Registration Statement on Form S-3 (File No. 333-299630) (the “Registration Statement”) as an exhibit-only filing to file a consent of independent registered public accounting firm as Exhibit 23.2 and amend and restate the exhibit index set forth in Item 16 of Part II of the Registration Statement.</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Accordingly, this Amendment consists only of the facing page, this explanatory note, the signature page to the Registration Statement, and the exhibit index, and does not modify any provision of the prospectus that forms a part of the Registration Statement. The prospectus and the balance of Part II of the Registration Statement previously filed are unchanged and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920" w:type="dxa"/>
            <w:vAlign w:val="bottom"/>
            <w:gridSpan w:val="39"/>
          </w:tcPr>
          <w:p>
            <w:pPr>
              <w:ind w:left="240"/>
              <w:spacing w:after="0"/>
              <w:rPr>
                <w:sz w:val="20"/>
                <w:szCs w:val="20"/>
                <w:color w:val="auto"/>
              </w:rPr>
            </w:pPr>
            <w:r>
              <w:rPr>
                <w:rFonts w:ascii="Times New Roman" w:cs="Times New Roman" w:eastAsia="Times New Roman" w:hAnsi="Times New Roman"/>
                <w:sz w:val="18"/>
                <w:szCs w:val="18"/>
                <w:color w:val="auto"/>
              </w:rPr>
              <w:t>The following exhibits are filed herewith, or were previously filed and are hereby incorporated by reference.</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4"/>
                <w:szCs w:val="24"/>
                <w:color w:val="auto"/>
              </w:rPr>
            </w:pP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87"/>
        </w:trPr>
        <w:tc>
          <w:tcPr>
            <w:tcW w:w="940" w:type="dxa"/>
            <w:vAlign w:val="bottom"/>
            <w:gridSpan w:val="3"/>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0"/>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tcPr>
          <w:p>
            <w:pPr>
              <w:spacing w:after="0"/>
              <w:rPr>
                <w:sz w:val="20"/>
                <w:szCs w:val="20"/>
                <w:color w:val="auto"/>
              </w:rPr>
            </w:pPr>
          </w:p>
        </w:tc>
        <w:tc>
          <w:tcPr>
            <w:tcW w:w="6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0" w:type="dxa"/>
            <w:vAlign w:val="bottom"/>
          </w:tcPr>
          <w:p>
            <w:pPr>
              <w:spacing w:after="0"/>
              <w:rPr>
                <w:sz w:val="20"/>
                <w:szCs w:val="20"/>
                <w:color w:val="auto"/>
              </w:rPr>
            </w:pPr>
          </w:p>
        </w:tc>
        <w:tc>
          <w:tcPr>
            <w:tcW w:w="8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0" w:type="dxa"/>
            <w:vAlign w:val="bottom"/>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91"/>
        </w:trPr>
        <w:tc>
          <w:tcPr>
            <w:tcW w:w="9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6"/>
                <w:szCs w:val="16"/>
                <w:color w:val="auto"/>
              </w:rPr>
            </w:pPr>
          </w:p>
        </w:tc>
        <w:tc>
          <w:tcPr>
            <w:tcW w:w="5660" w:type="dxa"/>
            <w:vAlign w:val="bottom"/>
            <w:gridSpan w:val="25"/>
          </w:tcPr>
          <w:p>
            <w:pPr>
              <w:spacing w:after="0" w:line="191" w:lineRule="exact"/>
              <w:rPr>
                <w:sz w:val="20"/>
                <w:szCs w:val="20"/>
                <w:color w:val="auto"/>
              </w:rPr>
            </w:pPr>
            <w:r>
              <w:rPr>
                <w:rFonts w:ascii="Times New Roman" w:cs="Times New Roman" w:eastAsia="Times New Roman" w:hAnsi="Times New Roman"/>
                <w:sz w:val="18"/>
                <w:szCs w:val="18"/>
                <w:color w:val="auto"/>
              </w:rPr>
              <w:t>Form of Underwriting Agreement*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gridSpan w:val="2"/>
          </w:tcPr>
          <w:p>
            <w:pPr>
              <w:spacing w:after="0"/>
              <w:rPr>
                <w:sz w:val="16"/>
                <w:szCs w:val="16"/>
                <w:color w:val="auto"/>
              </w:rPr>
            </w:pPr>
          </w:p>
        </w:tc>
        <w:tc>
          <w:tcPr>
            <w:tcW w:w="220" w:type="dxa"/>
            <w:vAlign w:val="bottom"/>
          </w:tcPr>
          <w:p>
            <w:pPr>
              <w:jc w:val="right"/>
              <w:spacing w:after="0" w:line="194" w:lineRule="exact"/>
              <w:rPr>
                <w:rFonts w:ascii="Times New Roman" w:cs="Times New Roman" w:eastAsia="Times New Roman" w:hAnsi="Times New Roman"/>
                <w:sz w:val="18"/>
                <w:szCs w:val="18"/>
                <w:color w:val="0000EE"/>
                <w:w w:val="88"/>
              </w:rPr>
            </w:pPr>
            <w:hyperlink r:id="rId19">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2</w:t>
              </w:r>
            </w:hyperlink>
          </w:p>
        </w:tc>
        <w:tc>
          <w:tcPr>
            <w:tcW w:w="200" w:type="dxa"/>
            <w:vAlign w:val="bottom"/>
          </w:tcPr>
          <w:p>
            <w:pPr>
              <w:spacing w:after="0"/>
              <w:rPr>
                <w:sz w:val="16"/>
                <w:szCs w:val="16"/>
                <w:color w:val="auto"/>
              </w:rPr>
            </w:pPr>
          </w:p>
        </w:tc>
        <w:tc>
          <w:tcPr>
            <w:tcW w:w="5660" w:type="dxa"/>
            <w:vAlign w:val="bottom"/>
            <w:gridSpan w:val="25"/>
          </w:tcPr>
          <w:p>
            <w:pPr>
              <w:spacing w:after="0" w:line="194"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At-the-Market Issuance Sales Agreement, dated October 23, 2026, by and</w:t>
              </w:r>
            </w:hyperlink>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between the Company and H.C. Wainwright &amp; Co., LLC**</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20">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Articles of Incorporation of the Company, effective November 4, 2021</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80"/>
              <w:spacing w:after="0" w:line="196" w:lineRule="exact"/>
              <w:rPr>
                <w:rFonts w:ascii="Times New Roman" w:cs="Times New Roman" w:eastAsia="Times New Roman" w:hAnsi="Times New Roman"/>
                <w:sz w:val="18"/>
                <w:szCs w:val="18"/>
                <w:color w:val="0000EE"/>
                <w:w w:val="95"/>
              </w:rPr>
            </w:pPr>
            <w:hyperlink r:id="rId20">
              <w:r>
                <w:rPr>
                  <w:rFonts w:ascii="Times New Roman" w:cs="Times New Roman" w:eastAsia="Times New Roman" w:hAnsi="Times New Roman"/>
                  <w:sz w:val="18"/>
                  <w:szCs w:val="18"/>
                  <w:color w:val="0000EE"/>
                  <w:w w:val="95"/>
                </w:rPr>
                <w:t>S-1</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03/31/2022</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21">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Certificate of Amendment of Articles of Incorporation, effective October 8,</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21">
              <w:r>
                <w:rPr>
                  <w:rFonts w:ascii="Times New Roman" w:cs="Times New Roman" w:eastAsia="Times New Roman" w:hAnsi="Times New Roman"/>
                  <w:sz w:val="18"/>
                  <w:szCs w:val="18"/>
                  <w:color w:val="0000EE"/>
                  <w:w w:val="92"/>
                </w:rPr>
                <w:t>8-K</w:t>
              </w:r>
            </w:hyperlink>
          </w:p>
        </w:tc>
        <w:tc>
          <w:tcPr>
            <w:tcW w:w="1340" w:type="dxa"/>
            <w:vAlign w:val="bottom"/>
            <w:gridSpan w:val="4"/>
          </w:tcPr>
          <w:p>
            <w:pPr>
              <w:jc w:val="center"/>
              <w:ind w:left="110"/>
              <w:spacing w:after="0" w:line="196"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10/07//2024</w:t>
              </w:r>
            </w:hyperlink>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ind w:left="200"/>
              <w:spacing w:after="0" w:line="196" w:lineRule="exact"/>
              <w:rPr>
                <w:rFonts w:ascii="Times New Roman" w:cs="Times New Roman" w:eastAsia="Times New Roman" w:hAnsi="Times New Roman"/>
                <w:sz w:val="18"/>
                <w:szCs w:val="18"/>
                <w:color w:val="0000EE"/>
                <w:w w:val="94"/>
              </w:rPr>
            </w:pPr>
            <w:hyperlink r:id="rId21">
              <w:r>
                <w:rPr>
                  <w:rFonts w:ascii="Times New Roman" w:cs="Times New Roman" w:eastAsia="Times New Roman" w:hAnsi="Times New Roman"/>
                  <w:sz w:val="18"/>
                  <w:szCs w:val="18"/>
                  <w:color w:val="0000EE"/>
                  <w:w w:val="94"/>
                </w:rPr>
                <w:t>2024</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22">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3</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Certificate of Change, effective July 21, 2026</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22">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07/16/2026</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23">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4</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Amendment of Articles of Incorporation, effective as of August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23">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08/24/2026</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4"/>
          </w:tcPr>
          <w:p>
            <w:pPr>
              <w:ind w:left="200"/>
              <w:spacing w:after="0" w:line="196" w:lineRule="exact"/>
              <w:rPr>
                <w:rFonts w:ascii="Times New Roman" w:cs="Times New Roman" w:eastAsia="Times New Roman" w:hAnsi="Times New Roman"/>
                <w:sz w:val="18"/>
                <w:szCs w:val="18"/>
                <w:color w:val="0000EE"/>
                <w:w w:val="91"/>
              </w:rPr>
            </w:pPr>
            <w:hyperlink r:id="rId23">
              <w:r>
                <w:rPr>
                  <w:rFonts w:ascii="Times New Roman" w:cs="Times New Roman" w:eastAsia="Times New Roman" w:hAnsi="Times New Roman"/>
                  <w:sz w:val="18"/>
                  <w:szCs w:val="18"/>
                  <w:color w:val="0000EE"/>
                  <w:w w:val="91"/>
                </w:rPr>
                <w:t>20, 2026</w:t>
              </w:r>
            </w:hyperlink>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24">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5</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Bylaws of the Company, dated August 21, 2024</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24">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08/27/2024</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25">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6</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Certificate of Amendment of Amended and Restated Bylaws, dated August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25">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08/24/2026</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4"/>
          </w:tcPr>
          <w:p>
            <w:pPr>
              <w:ind w:left="200"/>
              <w:spacing w:after="0" w:line="196" w:lineRule="exact"/>
              <w:rPr>
                <w:rFonts w:ascii="Times New Roman" w:cs="Times New Roman" w:eastAsia="Times New Roman" w:hAnsi="Times New Roman"/>
                <w:sz w:val="18"/>
                <w:szCs w:val="18"/>
                <w:color w:val="0000EE"/>
                <w:w w:val="91"/>
              </w:rPr>
            </w:pPr>
            <w:hyperlink r:id="rId25">
              <w:r>
                <w:rPr>
                  <w:rFonts w:ascii="Times New Roman" w:cs="Times New Roman" w:eastAsia="Times New Roman" w:hAnsi="Times New Roman"/>
                  <w:sz w:val="18"/>
                  <w:szCs w:val="18"/>
                  <w:color w:val="0000EE"/>
                  <w:w w:val="91"/>
                </w:rPr>
                <w:t>20, 2026</w:t>
              </w:r>
            </w:hyperlink>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2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Common Stock Certificate</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80"/>
              <w:spacing w:after="0" w:line="196" w:lineRule="exact"/>
              <w:rPr>
                <w:rFonts w:ascii="Times New Roman" w:cs="Times New Roman" w:eastAsia="Times New Roman" w:hAnsi="Times New Roman"/>
                <w:sz w:val="18"/>
                <w:szCs w:val="18"/>
                <w:color w:val="0000EE"/>
                <w:w w:val="95"/>
              </w:rPr>
            </w:pPr>
            <w:hyperlink r:id="rId26">
              <w:r>
                <w:rPr>
                  <w:rFonts w:ascii="Times New Roman" w:cs="Times New Roman" w:eastAsia="Times New Roman" w:hAnsi="Times New Roman"/>
                  <w:sz w:val="18"/>
                  <w:szCs w:val="18"/>
                  <w:color w:val="0000EE"/>
                  <w:w w:val="95"/>
                </w:rPr>
                <w:t>S-1</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03/31/2022</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2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Indenture**</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20" w:type="dxa"/>
            <w:vAlign w:val="bottom"/>
            <w:gridSpan w:val="2"/>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200" w:type="dxa"/>
            <w:vAlign w:val="bottom"/>
          </w:tcPr>
          <w:p>
            <w:pPr>
              <w:spacing w:after="0"/>
              <w:rPr>
                <w:sz w:val="18"/>
                <w:szCs w:val="18"/>
                <w:color w:val="auto"/>
              </w:rPr>
            </w:pPr>
          </w:p>
        </w:tc>
        <w:tc>
          <w:tcPr>
            <w:tcW w:w="56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56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56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gridSpan w:val="3"/>
          </w:tcPr>
          <w:p>
            <w:pPr>
              <w:jc w:val="right"/>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200" w:type="dxa"/>
            <w:vAlign w:val="bottom"/>
          </w:tcPr>
          <w:p>
            <w:pPr>
              <w:spacing w:after="0"/>
              <w:rPr>
                <w:sz w:val="16"/>
                <w:szCs w:val="16"/>
                <w:color w:val="auto"/>
              </w:rPr>
            </w:pPr>
          </w:p>
        </w:tc>
        <w:tc>
          <w:tcPr>
            <w:tcW w:w="5660" w:type="dxa"/>
            <w:vAlign w:val="bottom"/>
            <w:gridSpan w:val="25"/>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Representative’s Warrant Agreement</w:t>
              </w:r>
            </w:hyperlink>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4"/>
          </w:tcPr>
          <w:p>
            <w:pPr>
              <w:jc w:val="center"/>
              <w:ind w:right="180"/>
              <w:spacing w:after="0" w:line="194" w:lineRule="exact"/>
              <w:rPr>
                <w:rFonts w:ascii="Times New Roman" w:cs="Times New Roman" w:eastAsia="Times New Roman" w:hAnsi="Times New Roman"/>
                <w:sz w:val="18"/>
                <w:szCs w:val="18"/>
                <w:color w:val="0000EE"/>
                <w:w w:val="95"/>
              </w:rPr>
            </w:pPr>
            <w:hyperlink r:id="rId28">
              <w:r>
                <w:rPr>
                  <w:rFonts w:ascii="Times New Roman" w:cs="Times New Roman" w:eastAsia="Times New Roman" w:hAnsi="Times New Roman"/>
                  <w:sz w:val="18"/>
                  <w:szCs w:val="18"/>
                  <w:color w:val="0000EE"/>
                  <w:w w:val="95"/>
                </w:rPr>
                <w:t>S-1</w:t>
              </w:r>
            </w:hyperlink>
          </w:p>
        </w:tc>
        <w:tc>
          <w:tcPr>
            <w:tcW w:w="1180" w:type="dxa"/>
            <w:vAlign w:val="bottom"/>
            <w:gridSpan w:val="3"/>
          </w:tcPr>
          <w:p>
            <w:pPr>
              <w:jc w:val="center"/>
              <w:ind w:left="270"/>
              <w:spacing w:after="0" w:line="194"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03/31/2022</w:t>
              </w:r>
            </w:hyperlink>
          </w:p>
        </w:tc>
        <w:tc>
          <w:tcPr>
            <w:tcW w:w="160" w:type="dxa"/>
            <w:vAlign w:val="bottom"/>
          </w:tcPr>
          <w:p>
            <w:pPr>
              <w:spacing w:after="0"/>
              <w:rPr>
                <w:sz w:val="16"/>
                <w:szCs w:val="16"/>
                <w:color w:val="auto"/>
              </w:rPr>
            </w:pPr>
          </w:p>
        </w:tc>
        <w:tc>
          <w:tcPr>
            <w:tcW w:w="1000" w:type="dxa"/>
            <w:vAlign w:val="bottom"/>
            <w:gridSpan w:val="5"/>
          </w:tcPr>
          <w:p>
            <w:pPr>
              <w:jc w:val="right"/>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Senior Secured Promissory Note issued to bridge loan investors</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80"/>
              <w:spacing w:after="0" w:line="196" w:lineRule="exact"/>
              <w:rPr>
                <w:rFonts w:ascii="Times New Roman" w:cs="Times New Roman" w:eastAsia="Times New Roman" w:hAnsi="Times New Roman"/>
                <w:sz w:val="18"/>
                <w:szCs w:val="18"/>
                <w:color w:val="0000EE"/>
                <w:w w:val="95"/>
              </w:rPr>
            </w:pPr>
            <w:hyperlink r:id="rId29">
              <w:r>
                <w:rPr>
                  <w:rFonts w:ascii="Times New Roman" w:cs="Times New Roman" w:eastAsia="Times New Roman" w:hAnsi="Times New Roman"/>
                  <w:sz w:val="18"/>
                  <w:szCs w:val="18"/>
                  <w:color w:val="0000EE"/>
                  <w:w w:val="95"/>
                </w:rPr>
                <w:t>S-1</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03/31/2022</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30">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8</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Description of Capital Stock</w:t>
              </w:r>
            </w:hyperlink>
          </w:p>
        </w:tc>
        <w:tc>
          <w:tcPr>
            <w:tcW w:w="180" w:type="dxa"/>
            <w:vAlign w:val="bottom"/>
          </w:tcPr>
          <w:p>
            <w:pPr>
              <w:spacing w:after="0"/>
              <w:rPr>
                <w:sz w:val="17"/>
                <w:szCs w:val="17"/>
                <w:color w:val="auto"/>
              </w:rPr>
            </w:pPr>
          </w:p>
        </w:tc>
        <w:tc>
          <w:tcPr>
            <w:tcW w:w="600" w:type="dxa"/>
            <w:vAlign w:val="bottom"/>
            <w:gridSpan w:val="5"/>
          </w:tcPr>
          <w:p>
            <w:pPr>
              <w:jc w:val="center"/>
              <w:spacing w:after="0" w:line="196" w:lineRule="exact"/>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10-K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03/16/2026</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31">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9</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March 2022 Form of Common Stock Warrant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80"/>
              <w:spacing w:after="0" w:line="196" w:lineRule="exact"/>
              <w:rPr>
                <w:rFonts w:ascii="Times New Roman" w:cs="Times New Roman" w:eastAsia="Times New Roman" w:hAnsi="Times New Roman"/>
                <w:sz w:val="18"/>
                <w:szCs w:val="18"/>
                <w:color w:val="0000EE"/>
                <w:w w:val="95"/>
              </w:rPr>
            </w:pPr>
            <w:hyperlink r:id="rId31">
              <w:r>
                <w:rPr>
                  <w:rFonts w:ascii="Times New Roman" w:cs="Times New Roman" w:eastAsia="Times New Roman" w:hAnsi="Times New Roman"/>
                  <w:sz w:val="18"/>
                  <w:szCs w:val="18"/>
                  <w:color w:val="0000EE"/>
                  <w:w w:val="95"/>
                </w:rPr>
                <w:t>S-1</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03/31/2022</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 xml:space="preserve">March 2023 Form of Warrant with an Exercise Price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2.90</w:t>
              </w:r>
            </w:hyperlink>
          </w:p>
        </w:tc>
        <w:tc>
          <w:tcPr>
            <w:tcW w:w="180" w:type="dxa"/>
            <w:vAlign w:val="bottom"/>
          </w:tcPr>
          <w:p>
            <w:pPr>
              <w:spacing w:after="0"/>
              <w:rPr>
                <w:sz w:val="17"/>
                <w:szCs w:val="17"/>
                <w:color w:val="auto"/>
              </w:rPr>
            </w:pPr>
          </w:p>
        </w:tc>
        <w:tc>
          <w:tcPr>
            <w:tcW w:w="600" w:type="dxa"/>
            <w:vAlign w:val="bottom"/>
            <w:gridSpan w:val="5"/>
          </w:tcPr>
          <w:p>
            <w:pPr>
              <w:jc w:val="center"/>
              <w:spacing w:after="0" w:line="196" w:lineRule="exact"/>
              <w:rPr>
                <w:rFonts w:ascii="Times New Roman" w:cs="Times New Roman" w:eastAsia="Times New Roman" w:hAnsi="Times New Roman"/>
                <w:sz w:val="18"/>
                <w:szCs w:val="18"/>
                <w:color w:val="0000EE"/>
                <w:w w:val="97"/>
              </w:rPr>
            </w:pPr>
            <w:hyperlink r:id="rId32">
              <w:r>
                <w:rPr>
                  <w:rFonts w:ascii="Times New Roman" w:cs="Times New Roman" w:eastAsia="Times New Roman" w:hAnsi="Times New Roman"/>
                  <w:sz w:val="18"/>
                  <w:szCs w:val="18"/>
                  <w:color w:val="0000EE"/>
                  <w:w w:val="97"/>
                </w:rPr>
                <w:t>10-K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03/30/2023</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11</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 xml:space="preserve">March 2023 Form of Warrant with an Exercise Price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3.32</w:t>
              </w:r>
            </w:hyperlink>
          </w:p>
        </w:tc>
        <w:tc>
          <w:tcPr>
            <w:tcW w:w="180" w:type="dxa"/>
            <w:vAlign w:val="bottom"/>
          </w:tcPr>
          <w:p>
            <w:pPr>
              <w:spacing w:after="0"/>
              <w:rPr>
                <w:sz w:val="17"/>
                <w:szCs w:val="17"/>
                <w:color w:val="auto"/>
              </w:rPr>
            </w:pPr>
          </w:p>
        </w:tc>
        <w:tc>
          <w:tcPr>
            <w:tcW w:w="600" w:type="dxa"/>
            <w:vAlign w:val="bottom"/>
            <w:gridSpan w:val="5"/>
          </w:tcPr>
          <w:p>
            <w:pPr>
              <w:jc w:val="center"/>
              <w:spacing w:after="0" w:line="196" w:lineRule="exact"/>
              <w:rPr>
                <w:rFonts w:ascii="Times New Roman" w:cs="Times New Roman" w:eastAsia="Times New Roman" w:hAnsi="Times New Roman"/>
                <w:sz w:val="18"/>
                <w:szCs w:val="18"/>
                <w:color w:val="0000EE"/>
                <w:w w:val="97"/>
              </w:rPr>
            </w:pPr>
            <w:hyperlink r:id="rId33">
              <w:r>
                <w:rPr>
                  <w:rFonts w:ascii="Times New Roman" w:cs="Times New Roman" w:eastAsia="Times New Roman" w:hAnsi="Times New Roman"/>
                  <w:sz w:val="18"/>
                  <w:szCs w:val="18"/>
                  <w:color w:val="0000EE"/>
                  <w:w w:val="97"/>
                </w:rPr>
                <w:t>10-K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03/30/2023</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December 2023 Form of Convertible Note</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34">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12/29/2023</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August 2024 Form of Pre-Funded Warrant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35">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08/09/2024</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August 2024 Form of Series A Warrant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36">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08/09/2024</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August 2024 Form of Series B Warrant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37">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08/09/2024</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October 2025 Form of Pre-Funded Warrant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38">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10/17/2025</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January 2025 Form of Pre-Funded Warrant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39">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01/03/2025</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January 2025 Form of Common Warrant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40">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01/03/2025</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Amended and Restated 8% Convertible Debenture Due August 21,</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41">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10/23/2026</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ind w:left="200"/>
              <w:spacing w:after="0" w:line="196" w:lineRule="exact"/>
              <w:rPr>
                <w:rFonts w:ascii="Times New Roman" w:cs="Times New Roman" w:eastAsia="Times New Roman" w:hAnsi="Times New Roman"/>
                <w:sz w:val="18"/>
                <w:szCs w:val="18"/>
                <w:color w:val="0000EE"/>
                <w:w w:val="94"/>
              </w:rPr>
            </w:pPr>
            <w:hyperlink r:id="rId41">
              <w:r>
                <w:rPr>
                  <w:rFonts w:ascii="Times New Roman" w:cs="Times New Roman" w:eastAsia="Times New Roman" w:hAnsi="Times New Roman"/>
                  <w:sz w:val="18"/>
                  <w:szCs w:val="18"/>
                  <w:color w:val="0000EE"/>
                  <w:w w:val="94"/>
                </w:rPr>
                <w:t>2029</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of Amended and Restated Common Stock Purchase Warrant</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4"/>
          </w:tcPr>
          <w:p>
            <w:pPr>
              <w:jc w:val="center"/>
              <w:ind w:right="160"/>
              <w:spacing w:after="0" w:line="196" w:lineRule="exact"/>
              <w:rPr>
                <w:rFonts w:ascii="Times New Roman" w:cs="Times New Roman" w:eastAsia="Times New Roman" w:hAnsi="Times New Roman"/>
                <w:sz w:val="18"/>
                <w:szCs w:val="18"/>
                <w:color w:val="0000EE"/>
                <w:w w:val="92"/>
              </w:rPr>
            </w:pPr>
            <w:hyperlink r:id="rId42">
              <w:r>
                <w:rPr>
                  <w:rFonts w:ascii="Times New Roman" w:cs="Times New Roman" w:eastAsia="Times New Roman" w:hAnsi="Times New Roman"/>
                  <w:sz w:val="18"/>
                  <w:szCs w:val="18"/>
                  <w:color w:val="0000EE"/>
                  <w:w w:val="92"/>
                </w:rPr>
                <w:t>8-K</w:t>
              </w:r>
            </w:hyperlink>
          </w:p>
        </w:tc>
        <w:tc>
          <w:tcPr>
            <w:tcW w:w="1180" w:type="dxa"/>
            <w:vAlign w:val="bottom"/>
            <w:gridSpan w:val="3"/>
          </w:tcPr>
          <w:p>
            <w:pPr>
              <w:jc w:val="center"/>
              <w:ind w:left="270"/>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10/23/2026</w:t>
              </w:r>
            </w:hyperlink>
          </w:p>
        </w:tc>
        <w:tc>
          <w:tcPr>
            <w:tcW w:w="160" w:type="dxa"/>
            <w:vAlign w:val="bottom"/>
          </w:tcPr>
          <w:p>
            <w:pPr>
              <w:spacing w:after="0"/>
              <w:rPr>
                <w:sz w:val="17"/>
                <w:szCs w:val="17"/>
                <w:color w:val="auto"/>
              </w:rPr>
            </w:pPr>
          </w:p>
        </w:tc>
        <w:tc>
          <w:tcPr>
            <w:tcW w:w="100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43">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Opinion of Stradling Yocca Carlson &amp; Rauth LLP**</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rPr>
                <w:sz w:val="17"/>
                <w:szCs w:val="17"/>
                <w:color w:val="auto"/>
              </w:rPr>
            </w:pPr>
          </w:p>
        </w:tc>
        <w:tc>
          <w:tcPr>
            <w:tcW w:w="220" w:type="dxa"/>
            <w:vAlign w:val="bottom"/>
          </w:tcPr>
          <w:p>
            <w:pPr>
              <w:jc w:val="right"/>
              <w:spacing w:after="0" w:line="196" w:lineRule="exact"/>
              <w:rPr>
                <w:rFonts w:ascii="Times New Roman" w:cs="Times New Roman" w:eastAsia="Times New Roman" w:hAnsi="Times New Roman"/>
                <w:sz w:val="18"/>
                <w:szCs w:val="18"/>
                <w:color w:val="0000EE"/>
                <w:w w:val="88"/>
              </w:rPr>
            </w:pPr>
            <w:hyperlink r:id="rId44">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2</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Opinion of Stradling Yocca Carlson &amp; Rauth LLP**</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Consent of Stradling Yocca Carlson &amp; Rauth LLP** (included in Exhibit 5.1)</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2840" w:type="dxa"/>
            <w:vAlign w:val="bottom"/>
            <w:gridSpan w:val="11"/>
            <w:shd w:val="clear" w:color="auto" w:fill="0000EE"/>
          </w:tcPr>
          <w:p>
            <w:pPr>
              <w:spacing w:after="0" w:line="20" w:lineRule="exact"/>
              <w:rPr>
                <w:sz w:val="1"/>
                <w:szCs w:val="1"/>
                <w:color w:val="auto"/>
              </w:rPr>
            </w:pPr>
          </w:p>
        </w:tc>
        <w:tc>
          <w:tcPr>
            <w:tcW w:w="580" w:type="dxa"/>
            <w:vAlign w:val="bottom"/>
            <w:tcBorders>
              <w:lef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2</w:t>
            </w:r>
          </w:p>
        </w:tc>
        <w:tc>
          <w:tcPr>
            <w:tcW w:w="200" w:type="dxa"/>
            <w:vAlign w:val="bottom"/>
          </w:tcPr>
          <w:p>
            <w:pPr>
              <w:spacing w:after="0"/>
              <w:rPr>
                <w:sz w:val="17"/>
                <w:szCs w:val="17"/>
                <w:color w:val="auto"/>
              </w:rPr>
            </w:pPr>
          </w:p>
        </w:tc>
        <w:tc>
          <w:tcPr>
            <w:tcW w:w="56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M&amp;K CPAS PLLC, independent registered public accounting firm</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1"/>
              </w:rPr>
              <w:t>X</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600" w:type="dxa"/>
            <w:vAlign w:val="bottom"/>
            <w:tcBorders>
              <w:left w:val="single" w:sz="8" w:color="0000FF"/>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5660" w:type="dxa"/>
            <w:vAlign w:val="bottom"/>
            <w:gridSpan w:val="25"/>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Power of Attorney (included on the signature page to the Registration</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2840" w:type="dxa"/>
            <w:vAlign w:val="bottom"/>
            <w:gridSpan w:val="11"/>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Statement, as initially filed)**</w:t>
              </w:r>
            </w:hyperlink>
          </w:p>
        </w:tc>
        <w:tc>
          <w:tcPr>
            <w:tcW w:w="3480" w:type="dxa"/>
            <w:vAlign w:val="bottom"/>
            <w:gridSpan w:val="19"/>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20"/>
                <w:szCs w:val="20"/>
                <w:color w:val="auto"/>
              </w:rPr>
            </w:pPr>
          </w:p>
        </w:tc>
        <w:tc>
          <w:tcPr>
            <w:tcW w:w="56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Statement of Eligibility on Form T-1 under the Trust Indenture Act†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40" w:hanging="465"/>
        <w:spacing w:after="0"/>
        <w:tabs>
          <w:tab w:leader="none" w:pos="1240" w:val="left"/>
        </w:tabs>
        <w:numPr>
          <w:ilvl w:val="1"/>
          <w:numId w:val="1"/>
        </w:numPr>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Filing Fee Table**</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63"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To be filed by amendment or incorporated by reference in connection with the offering of the securities.</w:t>
      </w:r>
    </w:p>
    <w:p>
      <w:pPr>
        <w:spacing w:after="0" w:line="90" w:lineRule="exact"/>
        <w:rPr>
          <w:rFonts w:ascii="Times New Roman" w:cs="Times New Roman" w:eastAsia="Times New Roman" w:hAnsi="Times New Roman"/>
          <w:sz w:val="18"/>
          <w:szCs w:val="18"/>
          <w:u w:val="single" w:color="auto"/>
          <w:color w:val="0000EE"/>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pursuant to Section 305(b)(2) of the U.S. Trust Indenture Act of 1939,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49"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Amendment to be signed on its behalf by the undersigned, thereunto duly authorized, in the City of Redmond, State of Oregon, on October 30, 2026.</w:t>
      </w:r>
    </w:p>
    <w:p>
      <w:pPr>
        <w:spacing w:after="0" w:line="1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Kevin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134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Sellers</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6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26"/>
        </w:trPr>
        <w:tc>
          <w:tcPr>
            <w:tcW w:w="3100" w:type="dxa"/>
            <w:vAlign w:val="bottom"/>
            <w:gridSpan w:val="5"/>
          </w:tcPr>
          <w:p>
            <w:pPr>
              <w:jc w:val="center"/>
              <w:ind w:right="1060"/>
              <w:spacing w:after="0"/>
              <w:rPr>
                <w:sz w:val="20"/>
                <w:szCs w:val="20"/>
                <w:color w:val="auto"/>
              </w:rPr>
            </w:pPr>
            <w:r>
              <w:rPr>
                <w:rFonts w:ascii="Times New Roman" w:cs="Times New Roman" w:eastAsia="Times New Roman" w:hAnsi="Times New Roman"/>
                <w:sz w:val="18"/>
                <w:szCs w:val="18"/>
                <w:color w:val="auto"/>
              </w:rPr>
              <w:t>/s/ Kevin Sellers</w:t>
            </w:r>
          </w:p>
        </w:tc>
        <w:tc>
          <w:tcPr>
            <w:tcW w:w="63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8"/>
        </w:trPr>
        <w:tc>
          <w:tcPr>
            <w:tcW w:w="4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Kevin Sellers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3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800" w:type="dxa"/>
            <w:vAlign w:val="bottom"/>
          </w:tcPr>
          <w:p>
            <w:pPr>
              <w:spacing w:after="0"/>
              <w:rPr>
                <w:sz w:val="19"/>
                <w:szCs w:val="19"/>
                <w:color w:val="auto"/>
              </w:rPr>
            </w:pPr>
          </w:p>
        </w:tc>
      </w:tr>
      <w:tr>
        <w:trPr>
          <w:trHeight w:val="414"/>
        </w:trPr>
        <w:tc>
          <w:tcPr>
            <w:tcW w:w="3100" w:type="dxa"/>
            <w:vAlign w:val="bottom"/>
            <w:gridSpan w:val="5"/>
          </w:tcPr>
          <w:p>
            <w:pPr>
              <w:jc w:val="center"/>
              <w:ind w:right="1060"/>
              <w:spacing w:after="0"/>
              <w:rPr>
                <w:sz w:val="20"/>
                <w:szCs w:val="20"/>
                <w:color w:val="auto"/>
              </w:rPr>
            </w:pPr>
            <w:r>
              <w:rPr>
                <w:rFonts w:ascii="Times New Roman" w:cs="Times New Roman" w:eastAsia="Times New Roman" w:hAnsi="Times New Roman"/>
                <w:sz w:val="18"/>
                <w:szCs w:val="18"/>
                <w:color w:val="auto"/>
                <w:w w:val="99"/>
              </w:rPr>
              <w:t>/s/ Robert Winspear</w:t>
            </w:r>
          </w:p>
        </w:tc>
        <w:tc>
          <w:tcPr>
            <w:tcW w:w="63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Chief Financial Officer, Secretary and Treasurer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8"/>
        </w:trPr>
        <w:tc>
          <w:tcPr>
            <w:tcW w:w="20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Robert Winspear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34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800" w:type="dxa"/>
            <w:vAlign w:val="bottom"/>
          </w:tcPr>
          <w:p>
            <w:pPr>
              <w:spacing w:after="0"/>
              <w:rPr>
                <w:sz w:val="19"/>
                <w:szCs w:val="19"/>
                <w:color w:val="auto"/>
              </w:rPr>
            </w:pPr>
          </w:p>
        </w:tc>
      </w:tr>
      <w:tr>
        <w:trPr>
          <w:trHeight w:val="414"/>
        </w:trPr>
        <w:tc>
          <w:tcPr>
            <w:tcW w:w="1680" w:type="dxa"/>
            <w:vAlign w:val="bottom"/>
            <w:tcBorders>
              <w:bottom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Director and Chairman of the Board of Directors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8"/>
        </w:trPr>
        <w:tc>
          <w:tcPr>
            <w:tcW w:w="440" w:type="dxa"/>
            <w:vAlign w:val="bottom"/>
          </w:tcPr>
          <w:p>
            <w:pPr>
              <w:spacing w:after="0"/>
              <w:rPr>
                <w:sz w:val="19"/>
                <w:szCs w:val="19"/>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Scott Burell</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1680" w:type="dxa"/>
            <w:vAlign w:val="bottom"/>
            <w:tcBorders>
              <w:bottom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8"/>
        </w:trPr>
        <w:tc>
          <w:tcPr>
            <w:tcW w:w="440" w:type="dxa"/>
            <w:vAlign w:val="bottom"/>
          </w:tcPr>
          <w:p>
            <w:pPr>
              <w:spacing w:after="0"/>
              <w:rPr>
                <w:sz w:val="19"/>
                <w:szCs w:val="19"/>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Marc W. Jarvis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1680" w:type="dxa"/>
            <w:vAlign w:val="bottom"/>
            <w:tcBorders>
              <w:bottom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8"/>
        </w:trPr>
        <w:tc>
          <w:tcPr>
            <w:tcW w:w="440" w:type="dxa"/>
            <w:vAlign w:val="bottom"/>
          </w:tcPr>
          <w:p>
            <w:pPr>
              <w:spacing w:after="0"/>
              <w:rPr>
                <w:sz w:val="19"/>
                <w:szCs w:val="19"/>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George Lefevre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1680" w:type="dxa"/>
            <w:vAlign w:val="bottom"/>
            <w:tcBorders>
              <w:bottom w:val="single" w:sz="8" w:color="auto"/>
            </w:tcBorders>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3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2026</w:t>
            </w:r>
          </w:p>
        </w:tc>
      </w:tr>
      <w:tr>
        <w:trPr>
          <w:trHeight w:val="228"/>
        </w:trPr>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Steven M. Shum</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589"/>
        </w:trPr>
        <w:tc>
          <w:tcPr>
            <w:tcW w:w="3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By: /s/ Kevin Sellers</w:t>
            </w:r>
          </w:p>
        </w:tc>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Kevin Sellers, Attorney-in-Fact</w:t>
            </w:r>
          </w:p>
        </w:tc>
        <w:tc>
          <w:tcPr>
            <w:tcW w:w="6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1"/>
        </w:trPr>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 w:name="page6"/>
    <w:bookmarkEnd w:id="5"/>
    <w:p>
      <w:pPr>
        <w:ind w:left="10260"/>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19685</wp:posOffset>
            </wp:positionV>
            <wp:extent cx="3282950" cy="128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328295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our report dated March 16, 2026, which appeared in the Expion360, Inc. Annual report on form 10-K relating to the audits of the financial statements as of December 31, 2025 and 2024 and for the periods then ended. We also consent to the reference to our firm under the caption “Experts” in the Registration Statement.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M&amp;K CPA</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PLLC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TX</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107"/>
    </w:lvl>
  </w:abstractNum>
  <w:abstractNum w:abstractNumId="1">
    <w:nsid w:val="6633487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47" Type="http://schemas.openxmlformats.org/officeDocument/2006/relationships/image" Target="media/image12.png"/><Relationship Id="rId48" Type="http://schemas.openxmlformats.org/officeDocument/2006/relationships/image" Target="media/image13.png"/><Relationship Id="rId49" Type="http://schemas.openxmlformats.org/officeDocument/2006/relationships/image" Target="media/image14.jpeg"/><Relationship Id="rId19" Type="http://schemas.openxmlformats.org/officeDocument/2006/relationships/hyperlink" Target="https://www.sec.gov/Archives/edgar/data/1894954/000190359626000406/ex1_2.htm" TargetMode="External"/><Relationship Id="rId20" Type="http://schemas.openxmlformats.org/officeDocument/2006/relationships/hyperlink" Target="http://www.sec.gov/Archives/edgar/data/1894954/000190359622000125/f2sexpion121721s1ex3_1.htm" TargetMode="External"/><Relationship Id="rId21" Type="http://schemas.openxmlformats.org/officeDocument/2006/relationships/hyperlink" Target="http://www.sec.gov/Archives/edgar/data/1894954/000190359624000610/ex3_1.htm" TargetMode="External"/><Relationship Id="rId22" Type="http://schemas.openxmlformats.org/officeDocument/2006/relationships/hyperlink" Target="http://www.sec.gov/Archives/edgar/data/1894954/000190359626000279/ex3_1.htm" TargetMode="External"/><Relationship Id="rId23" Type="http://schemas.openxmlformats.org/officeDocument/2006/relationships/hyperlink" Target="http://www.sec.gov/Archives/edgar/data/1894954/000190359626000317/ex3_2.htm" TargetMode="External"/><Relationship Id="rId24" Type="http://schemas.openxmlformats.org/officeDocument/2006/relationships/hyperlink" Target="http://www.sec.gov/Archives/edgar/data/1894954/000190359624000561/ex3_1.htm" TargetMode="External"/><Relationship Id="rId25" Type="http://schemas.openxmlformats.org/officeDocument/2006/relationships/hyperlink" Target="http://www.sec.gov/Archives/edgar/data/1894954/000190359626000317/ex3_3.htm" TargetMode="External"/><Relationship Id="rId26" Type="http://schemas.openxmlformats.org/officeDocument/2006/relationships/hyperlink" Target="http://www.sec.gov/Archives/edgar/data/1894954/000190359622000125/f2sexpion121721s1ex4_1.htm" TargetMode="External"/><Relationship Id="rId27" Type="http://schemas.openxmlformats.org/officeDocument/2006/relationships/hyperlink" Target="https://www.sec.gov/Archives/edgar/data/1894954/000190359626000406/ex4_2.htm" TargetMode="External"/><Relationship Id="rId28" Type="http://schemas.openxmlformats.org/officeDocument/2006/relationships/hyperlink" Target="http://www.sec.gov/Archives/edgar/data/1894954/000190359622000125/f2sexpion121721s1ex4_4.htm" TargetMode="External"/><Relationship Id="rId29" Type="http://schemas.openxmlformats.org/officeDocument/2006/relationships/hyperlink" Target="http://www.sec.gov/Archives/edgar/data/1894954/000190359622000125/f2sexpion121721s1ex4_5.htm" TargetMode="External"/><Relationship Id="rId30" Type="http://schemas.openxmlformats.org/officeDocument/2006/relationships/hyperlink" Target="http://www.sec.gov/Archives/edgar/data/1894954/000190359626000075/ex4_4.htm" TargetMode="External"/><Relationship Id="rId31" Type="http://schemas.openxmlformats.org/officeDocument/2006/relationships/hyperlink" Target="http://www.sec.gov/Archives/edgar/data/1894954/000190359622000125/f2sexpion121721s1ex10_1.htm" TargetMode="External"/><Relationship Id="rId32" Type="http://schemas.openxmlformats.org/officeDocument/2006/relationships/hyperlink" Target="http://www.sec.gov/Archives/edgar/data/1894954/000190359623000244/ex10_15.htm" TargetMode="External"/><Relationship Id="rId33" Type="http://schemas.openxmlformats.org/officeDocument/2006/relationships/hyperlink" Target="http://www.sec.gov/Archives/edgar/data/1894954/000190359623000244/ex10_16.htm" TargetMode="External"/><Relationship Id="rId34" Type="http://schemas.openxmlformats.org/officeDocument/2006/relationships/hyperlink" Target="http://www.sec.gov/Archives/edgar/data/1894954/000190359623000983/ex4_1.htm" TargetMode="External"/><Relationship Id="rId35" Type="http://schemas.openxmlformats.org/officeDocument/2006/relationships/hyperlink" Target="http://www.sec.gov/Archives/edgar/data/1894954/000190359624000479/ex4_1.htm" TargetMode="External"/><Relationship Id="rId36" Type="http://schemas.openxmlformats.org/officeDocument/2006/relationships/hyperlink" Target="http://www.sec.gov/Archives/edgar/data/1894954/000190359624000479/ex4_2.htm" TargetMode="External"/><Relationship Id="rId37" Type="http://schemas.openxmlformats.org/officeDocument/2006/relationships/hyperlink" Target="http://www.sec.gov/Archives/edgar/data/1894954/000190359624000479/ex4_3.htm" TargetMode="External"/><Relationship Id="rId38" Type="http://schemas.openxmlformats.org/officeDocument/2006/relationships/hyperlink" Target="http://www.sec.gov/Archives/edgar/data/1894954/000190359625000486/ex4_1.htm" TargetMode="External"/><Relationship Id="rId39" Type="http://schemas.openxmlformats.org/officeDocument/2006/relationships/hyperlink" Target="https://www.sec.gov/Archives/edgar/data/1894954/000190359625000006/ex4_1.htm" TargetMode="External"/><Relationship Id="rId40" Type="http://schemas.openxmlformats.org/officeDocument/2006/relationships/hyperlink" Target="https://www.sec.gov/Archives/edgar/data/1894954/000190359625000006/ex4_2.htm" TargetMode="External"/><Relationship Id="rId41" Type="http://schemas.openxmlformats.org/officeDocument/2006/relationships/hyperlink" Target="https://www.sec.gov/Archives/edgar/data/1894954/000190359626000390/ex4_1.htm" TargetMode="External"/><Relationship Id="rId42" Type="http://schemas.openxmlformats.org/officeDocument/2006/relationships/hyperlink" Target="https://www.sec.gov/Archives/edgar/data/1894954/000190359626000390/ex4_2.htm" TargetMode="External"/><Relationship Id="rId43" Type="http://schemas.openxmlformats.org/officeDocument/2006/relationships/hyperlink" Target="https://www.sec.gov/Archives/edgar/data/1894954/000190359626000406/ex5_1.htm" TargetMode="External"/><Relationship Id="rId44" Type="http://schemas.openxmlformats.org/officeDocument/2006/relationships/hyperlink" Target="https://www.sec.gov/Archives/edgar/data/1894954/000190359626000406/ex5_2.htm" TargetMode="External"/><Relationship Id="rId45" Type="http://schemas.openxmlformats.org/officeDocument/2006/relationships/hyperlink" Target="https://www.sec.gov/Archives/edgar/data/1894954/000190359626000406/xpon_s3.htm" TargetMode="External"/><Relationship Id="rId46" Type="http://schemas.openxmlformats.org/officeDocument/2006/relationships/hyperlink" Target="http://www.sec.gov/ix?doc=/Archives/edgar/data/1894954/000190359626000406/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2026-10-30T16:44:36Z</dcterms:created>
  <dcterms:modified xsi:type="dcterms:W3CDTF">2026-10-30T16:44:36Z</dcterms:modified>
</cp:coreProperties>
</file>