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October 23, 2026</w:t>
      </w:r>
    </w:p>
    <w:p>
      <w:pPr>
        <w:spacing w:after="0" w:line="129"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17" w:gutter="0" w:footer="0" w:header="0"/>
        </w:sectPr>
      </w:pPr>
    </w:p>
    <w:p>
      <w:pPr>
        <w:spacing w:after="0" w:line="162"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81-2701049</w:t>
      </w:r>
    </w:p>
    <w:p>
      <w:pPr>
        <w:spacing w:after="0" w:line="51" w:lineRule="exact"/>
        <w:rPr>
          <w:sz w:val="24"/>
          <w:szCs w:val="24"/>
          <w:color w:val="auto"/>
        </w:rPr>
      </w:pPr>
    </w:p>
    <w:p>
      <w:pPr>
        <w:sectPr>
          <w:pgSz w:w="11900" w:h="16838" w:orient="portrait"/>
          <w:cols w:equalWidth="0" w:num="2">
            <w:col w:w="7280" w:space="720"/>
            <w:col w:w="3240"/>
          </w:cols>
          <w:pgMar w:left="320" w:top="225" w:right="339" w:bottom="117" w:gutter="0" w:footer="0" w:header="0"/>
          <w:type w:val="continuous"/>
        </w:sect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174" w:lineRule="exact"/>
        <w:rPr>
          <w:sz w:val="24"/>
          <w:szCs w:val="24"/>
          <w:color w:val="auto"/>
        </w:rPr>
      </w:pPr>
    </w:p>
    <w:p>
      <w:pPr>
        <w:sectPr>
          <w:pgSz w:w="11900" w:h="16838" w:orient="portrait"/>
          <w:cols w:equalWidth="0" w:num="2">
            <w:col w:w="6880" w:space="720"/>
            <w:col w:w="3640"/>
          </w:cols>
          <w:pgMar w:left="320" w:top="225" w:right="339" w:bottom="117"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b w:val="1"/>
          <w:bCs w:val="1"/>
          <w:color w:val="auto"/>
        </w:rPr>
        <w:t>2025 SW Deerhound Avenue</w:t>
      </w:r>
    </w:p>
    <w:p>
      <w:pPr>
        <w:spacing w:after="0" w:line="4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Redmond, Oregon 97756</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(541) 797-6714</w:t>
      </w:r>
    </w:p>
    <w:p>
      <w:pPr>
        <w:sectPr>
          <w:pgSz w:w="11900" w:h="16838" w:orient="portrait"/>
          <w:cols w:equalWidth="0" w:num="1">
            <w:col w:w="11240"/>
          </w:cols>
          <w:pgMar w:left="320" w:top="225" w:right="339" w:bottom="117"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Kevin Sellers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SW Deerhound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Redmond, Oregon 97756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(541) 797-6714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Ryan C. Wilkins,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Amanda McFall,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Stradling Yocca Carlson &amp; Rauth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660 Newport Center Drive, Suite 1600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Newport Beach, California 92660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(949) 725-4000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From time to time or at one time as determined by the Registrant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after the effective date of this registration statement.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0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117"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filing this registration statement with the Securities and Exchange Commission (the “SEC”) using a “shelf” registration process. Under this “shelf” registration statement, in the future, we may, from time to time, sell any combination of the securities described herein, in one or more offerings, up to a maximum offering price of 50,000,000.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8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 issuance, and sale by us of up to a maximum aggregate offering price of $50,000,000 of our common stock, preferred stock, debt securities, and/or warrants from time to time in one or more offerings;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supplement covering the offering, issuance and sale of up to $1,666,183 of shares of our common stock that may be issued and sold under an at-the-market issuance sales agreement we entered with H.C. Wainwright &amp; Co., LLC (“Agent”).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$1,666,183 of our common stock that may be offered, issued and sold under the sales agreement prospectus supplement is included in the $50,000,000 of securities that may be offered, issued and sold by us under the base prospectus. Upon termination of the sales agreement, any portion of the $1,666,183 included in the sales agreement prospectus that is not sold pursuant to the sales agreement will be available for sale in other offerings pursuant to the base prospectus and a prospectus supplement that would contain specific information about the terms of that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117475</wp:posOffset>
            </wp:positionV>
            <wp:extent cx="5983605" cy="33604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offer and sell up to $50,000,000 in the aggregate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offer and sell securities, we will file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which may be on a delayed or continuous basis. For additional information on the methods of sale, you should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“XPON.” On October 22, 2026, the last reported sale price of our common stock was $3.92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1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October 22, 2026, the aggregate market value of our outstanding common stock held by non-affiliates, or our public float, was approximately $8,963,061. This value was computed by reference to the highest closing price of our common stock on Nasdaq within the preceding 60 days ($9.17 per share on August 26, 2026), multiplied by 977,433 shares held by non-affiliates. Pursuant to General Instruction I.B.6 of Form S-3, in no event will we sell securities in a public primary offering with a value exceeding one-third of our public float in any 12-month period so long as our public float remains below $75.0 million (the “Baby Shelf Limitation”). During the 12 calendar months prior to and including the date of this prospectus supplement (excluding this offering), we have sold approximately $1,321,503 in securities pursuant to General Instruction I.B.6 of Form S-3.</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Refer to the section entitled “</w:t>
      </w:r>
      <w:r>
        <w:rPr>
          <w:rFonts w:ascii="Times New Roman" w:cs="Times New Roman" w:eastAsia="Times New Roman" w:hAnsi="Times New Roman"/>
          <w:sz w:val="18"/>
          <w:szCs w:val="18"/>
          <w:i w:val="1"/>
          <w:iCs w:val="1"/>
          <w:color w:val="auto"/>
        </w:rPr>
        <w:t>Prospectus Summary—Implications of Being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Emerging Growth Company and a Smaller Reporting Company</w:t>
      </w:r>
      <w:r>
        <w:rPr>
          <w:rFonts w:ascii="Times New Roman" w:cs="Times New Roman" w:eastAsia="Times New Roman" w:hAnsi="Times New Roman"/>
          <w:sz w:val="18"/>
          <w:szCs w:val="18"/>
          <w:color w:val="auto"/>
        </w:rPr>
        <w:t>” in this prospectus for additional information.</w:t>
      </w:r>
    </w:p>
    <w:p>
      <w:pPr>
        <w:sectPr>
          <w:pgSz w:w="11900" w:h="16838" w:orient="portrait"/>
          <w:cols w:equalWidth="0" w:num="1">
            <w:col w:w="11240"/>
          </w:cols>
          <w:pgMar w:left="320" w:top="1049" w:right="339" w:bottom="0" w:gutter="0" w:footer="0" w:header="0"/>
        </w:sectPr>
      </w:pPr>
    </w:p>
    <w:bookmarkStart w:id="4" w:name="page5"/>
    <w:bookmarkEnd w:id="4"/>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on page 8 of this prospectus and in any applicable prospectus supplement and related free writing prospectus we have authorized for use in connection with a specific offering, and under similar headings in the other documents that are incorporated by reference into this prospectus. You should read this entire prospectus carefully before you make your investment decision.</w:t>
      </w:r>
    </w:p>
    <w:p>
      <w:pPr>
        <w:spacing w:after="0" w:line="13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20" w:type="dxa"/>
            <w:vAlign w:val="bottom"/>
          </w:tcPr>
          <w:p>
            <w:pPr>
              <w:jc w:val="right"/>
              <w:ind w:right="371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439"/>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7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5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Base Prospectus</w:t>
            </w:r>
          </w:p>
        </w:tc>
        <w:tc>
          <w:tcPr>
            <w:tcW w:w="6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40" w:type="dxa"/>
            <w:vAlign w:val="bottom"/>
            <w:tcBorders>
              <w:top w:val="single" w:sz="8" w:color="CCEEFF"/>
            </w:tcBorders>
            <w:gridSpan w:val="9"/>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w:t>
            </w:r>
          </w:p>
        </w:tc>
        <w:tc>
          <w:tcPr>
            <w:tcW w:w="8340" w:type="dxa"/>
            <w:vAlign w:val="bottom"/>
            <w:tcBorders>
              <w:top w:val="single" w:sz="8" w:color="CCEEFF"/>
            </w:tcBorders>
            <w:gridSpan w:val="11"/>
            <w:shd w:val="clear" w:color="auto" w:fill="CCEEFF"/>
          </w:tcPr>
          <w:p>
            <w:pPr>
              <w:spacing w:after="0"/>
              <w:rPr>
                <w:sz w:val="15"/>
                <w:szCs w:val="15"/>
                <w:color w:val="auto"/>
              </w:rPr>
            </w:pPr>
          </w:p>
        </w:tc>
        <w:tc>
          <w:tcPr>
            <w:tcW w:w="66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0000EE"/>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gridSpan w:val="9"/>
          </w:tcPr>
          <w:p>
            <w:pPr>
              <w:spacing w:after="0" w:line="170" w:lineRule="exact"/>
              <w:rPr>
                <w:sz w:val="20"/>
                <w:szCs w:val="20"/>
                <w:color w:val="auto"/>
              </w:rPr>
            </w:pPr>
            <w:r>
              <w:rPr>
                <w:rFonts w:ascii="Times New Roman" w:cs="Times New Roman" w:eastAsia="Times New Roman" w:hAnsi="Times New Roman"/>
                <w:sz w:val="18"/>
                <w:szCs w:val="18"/>
                <w:color w:val="0000EE"/>
              </w:rPr>
              <w:t>SELECTED DEFINITIONS</w:t>
            </w:r>
          </w:p>
        </w:tc>
        <w:tc>
          <w:tcPr>
            <w:tcW w:w="8340" w:type="dxa"/>
            <w:vAlign w:val="bottom"/>
            <w:gridSpan w:val="11"/>
          </w:tcPr>
          <w:p>
            <w:pPr>
              <w:spacing w:after="0"/>
              <w:rPr>
                <w:sz w:val="14"/>
                <w:szCs w:val="14"/>
                <w:color w:val="auto"/>
              </w:rPr>
            </w:pPr>
          </w:p>
        </w:tc>
        <w:tc>
          <w:tcPr>
            <w:tcW w:w="660" w:type="dxa"/>
            <w:vAlign w:val="bottom"/>
            <w:gridSpan w:val="5"/>
          </w:tcPr>
          <w:p>
            <w:pPr>
              <w:jc w:val="right"/>
              <w:spacing w:after="0" w:line="170"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780" w:type="dxa"/>
            <w:vAlign w:val="bottom"/>
            <w:gridSpan w:val="2"/>
            <w:shd w:val="clear" w:color="auto" w:fill="CCEEFF"/>
          </w:tcPr>
          <w:p>
            <w:pPr>
              <w:spacing w:after="0"/>
              <w:rPr>
                <w:sz w:val="15"/>
                <w:szCs w:val="15"/>
                <w:color w:val="auto"/>
              </w:rPr>
            </w:pPr>
          </w:p>
        </w:tc>
        <w:tc>
          <w:tcPr>
            <w:tcW w:w="66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780" w:type="dxa"/>
            <w:vAlign w:val="bottom"/>
            <w:gridSpan w:val="2"/>
          </w:tcPr>
          <w:p>
            <w:pPr>
              <w:spacing w:after="0"/>
              <w:rPr>
                <w:sz w:val="15"/>
                <w:szCs w:val="15"/>
                <w:color w:val="auto"/>
              </w:rPr>
            </w:pPr>
          </w:p>
        </w:tc>
        <w:tc>
          <w:tcPr>
            <w:tcW w:w="6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20" w:type="dxa"/>
            <w:vAlign w:val="bottom"/>
            <w:gridSpan w:val="17"/>
            <w:shd w:val="clear" w:color="auto" w:fill="CCEEFF"/>
          </w:tcPr>
          <w:p>
            <w:pPr>
              <w:spacing w:after="0"/>
              <w:rPr>
                <w:sz w:val="15"/>
                <w:szCs w:val="15"/>
                <w:color w:val="auto"/>
              </w:rPr>
            </w:pPr>
          </w:p>
        </w:tc>
        <w:tc>
          <w:tcPr>
            <w:tcW w:w="66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66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180" w:type="dxa"/>
            <w:vAlign w:val="bottom"/>
            <w:tcBorders>
              <w:top w:val="single" w:sz="8" w:color="CCEEFF"/>
            </w:tcBorders>
            <w:gridSpan w:val="6"/>
          </w:tcPr>
          <w:p>
            <w:pPr>
              <w:spacing w:after="0"/>
              <w:rPr>
                <w:sz w:val="15"/>
                <w:szCs w:val="15"/>
                <w:color w:val="auto"/>
              </w:rPr>
            </w:pPr>
          </w:p>
        </w:tc>
        <w:tc>
          <w:tcPr>
            <w:tcW w:w="48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tcBorders>
              <w:bottom w:val="single" w:sz="8" w:color="CCEEFF"/>
            </w:tcBorders>
            <w:gridSpan w:val="8"/>
            <w:shd w:val="clear" w:color="auto" w:fill="CCEEFF"/>
          </w:tcPr>
          <w:p>
            <w:pPr>
              <w:spacing w:after="0"/>
              <w:rPr>
                <w:sz w:val="17"/>
                <w:szCs w:val="17"/>
                <w:color w:val="auto"/>
              </w:rPr>
            </w:pPr>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20" w:type="dxa"/>
            <w:vAlign w:val="bottom"/>
            <w:tcBorders>
              <w:bottom w:val="single" w:sz="8" w:color="CCEEFF"/>
            </w:tcBorders>
            <w:gridSpan w:val="14"/>
            <w:shd w:val="clear" w:color="auto" w:fill="CCEEFF"/>
          </w:tcPr>
          <w:p>
            <w:pPr>
              <w:spacing w:after="0"/>
              <w:rPr>
                <w:sz w:val="17"/>
                <w:szCs w:val="17"/>
                <w:color w:val="auto"/>
              </w:rPr>
            </w:pPr>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00" w:type="dxa"/>
            <w:vAlign w:val="bottom"/>
            <w:tcBorders>
              <w:bottom w:val="single" w:sz="8" w:color="CCEEFF"/>
            </w:tcBorders>
            <w:gridSpan w:val="19"/>
            <w:shd w:val="clear" w:color="auto" w:fill="CCEEFF"/>
          </w:tcPr>
          <w:p>
            <w:pPr>
              <w:spacing w:after="0"/>
              <w:rPr>
                <w:sz w:val="17"/>
                <w:szCs w:val="17"/>
                <w:color w:val="auto"/>
              </w:rPr>
            </w:pPr>
          </w:p>
        </w:tc>
        <w:tc>
          <w:tcPr>
            <w:tcW w:w="48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60" w:type="dxa"/>
            <w:vAlign w:val="bottom"/>
            <w:gridSpan w:val="5"/>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51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400" w:type="dxa"/>
            <w:vAlign w:val="bottom"/>
            <w:gridSpan w:val="3"/>
          </w:tcPr>
          <w:p>
            <w:pPr>
              <w:spacing w:after="0"/>
              <w:rPr>
                <w:sz w:val="24"/>
                <w:szCs w:val="24"/>
                <w:color w:val="auto"/>
              </w:rPr>
            </w:pPr>
          </w:p>
        </w:tc>
        <w:tc>
          <w:tcPr>
            <w:tcW w:w="6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580" w:type="dxa"/>
            <w:vAlign w:val="bottom"/>
            <w:tcBorders>
              <w:top w:val="single" w:sz="8" w:color="CCEEFF"/>
            </w:tcBorders>
            <w:gridSpan w:val="20"/>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3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0000EE"/>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15"/>
          </w:tcPr>
          <w:p>
            <w:pPr>
              <w:spacing w:after="0" w:line="170"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7140" w:type="dxa"/>
            <w:vAlign w:val="bottom"/>
            <w:gridSpan w:val="5"/>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8"/>
                <w:szCs w:val="18"/>
                <w:color w:val="0000EE"/>
              </w:rPr>
              <w:t>S-2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780" w:type="dxa"/>
            <w:vAlign w:val="bottom"/>
            <w:gridSpan w:val="2"/>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478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32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2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32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MATERIAL UNITED STATES FEDERAL INCOME TAX CONSIDERATIONS</w:t>
            </w:r>
          </w:p>
        </w:tc>
        <w:tc>
          <w:tcPr>
            <w:tcW w:w="4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00" w:type="dxa"/>
            <w:vAlign w:val="bottom"/>
            <w:tcBorders>
              <w:bottom w:val="single" w:sz="8" w:color="CCEEFF"/>
            </w:tcBorders>
            <w:gridSpan w:val="19"/>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58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20" w:type="dxa"/>
            <w:vAlign w:val="bottom"/>
            <w:shd w:val="clear" w:color="auto" w:fill="CCEEFF"/>
          </w:tcPr>
          <w:p>
            <w:pPr>
              <w:spacing w:after="0"/>
              <w:rPr>
                <w:sz w:val="17"/>
                <w:szCs w:val="17"/>
                <w:color w:val="auto"/>
              </w:rPr>
            </w:pPr>
          </w:p>
        </w:tc>
        <w:tc>
          <w:tcPr>
            <w:tcW w:w="340" w:type="dxa"/>
            <w:vAlign w:val="bottom"/>
            <w:gridSpan w:val="4"/>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bottom w:val="single" w:sz="8" w:color="auto"/>
            </w:tcBorders>
          </w:tcPr>
          <w:p>
            <w:pPr>
              <w:spacing w:after="0"/>
              <w:rPr>
                <w:sz w:val="18"/>
                <w:szCs w:val="18"/>
                <w:color w:val="auto"/>
              </w:rPr>
            </w:pPr>
          </w:p>
        </w:tc>
        <w:tc>
          <w:tcPr>
            <w:tcW w:w="80" w:type="dxa"/>
            <w:vAlign w:val="bottom"/>
            <w:tcBorders>
              <w:top w:val="single" w:sz="8" w:color="0000EE"/>
              <w:bottom w:val="single" w:sz="8" w:color="auto"/>
            </w:tcBorders>
          </w:tcPr>
          <w:p>
            <w:pPr>
              <w:spacing w:after="0"/>
              <w:rPr>
                <w:sz w:val="18"/>
                <w:szCs w:val="18"/>
                <w:color w:val="auto"/>
              </w:rPr>
            </w:pPr>
          </w:p>
        </w:tc>
        <w:tc>
          <w:tcPr>
            <w:tcW w:w="400" w:type="dxa"/>
            <w:vAlign w:val="bottom"/>
            <w:tcBorders>
              <w:top w:val="single" w:sz="8" w:color="0000EE"/>
              <w:bottom w:val="single" w:sz="8" w:color="auto"/>
            </w:tcBorders>
          </w:tcPr>
          <w:p>
            <w:pPr>
              <w:spacing w:after="0"/>
              <w:rPr>
                <w:sz w:val="18"/>
                <w:szCs w:val="18"/>
                <w:color w:val="auto"/>
              </w:rPr>
            </w:pPr>
          </w:p>
        </w:tc>
        <w:tc>
          <w:tcPr>
            <w:tcW w:w="200" w:type="dxa"/>
            <w:vAlign w:val="bottom"/>
            <w:tcBorders>
              <w:top w:val="single" w:sz="8" w:color="0000EE"/>
              <w:bottom w:val="single" w:sz="8" w:color="auto"/>
            </w:tcBorders>
          </w:tcPr>
          <w:p>
            <w:pPr>
              <w:spacing w:after="0"/>
              <w:rPr>
                <w:sz w:val="18"/>
                <w:szCs w:val="18"/>
                <w:color w:val="auto"/>
              </w:rPr>
            </w:pPr>
          </w:p>
        </w:tc>
        <w:tc>
          <w:tcPr>
            <w:tcW w:w="120" w:type="dxa"/>
            <w:vAlign w:val="bottom"/>
            <w:tcBorders>
              <w:top w:val="single" w:sz="8" w:color="0000EE"/>
              <w:bottom w:val="single" w:sz="8" w:color="auto"/>
            </w:tcBorders>
          </w:tcPr>
          <w:p>
            <w:pPr>
              <w:spacing w:after="0"/>
              <w:rPr>
                <w:sz w:val="18"/>
                <w:szCs w:val="18"/>
                <w:color w:val="auto"/>
              </w:rPr>
            </w:pPr>
          </w:p>
        </w:tc>
        <w:tc>
          <w:tcPr>
            <w:tcW w:w="480" w:type="dxa"/>
            <w:vAlign w:val="bottom"/>
            <w:tcBorders>
              <w:top w:val="single" w:sz="8" w:color="0000EE"/>
              <w:bottom w:val="single" w:sz="8" w:color="auto"/>
            </w:tcBorders>
          </w:tcPr>
          <w:p>
            <w:pPr>
              <w:spacing w:after="0"/>
              <w:rPr>
                <w:sz w:val="18"/>
                <w:szCs w:val="18"/>
                <w:color w:val="auto"/>
              </w:rPr>
            </w:pPr>
          </w:p>
        </w:tc>
        <w:tc>
          <w:tcPr>
            <w:tcW w:w="20" w:type="dxa"/>
            <w:vAlign w:val="bottom"/>
            <w:tcBorders>
              <w:top w:val="single" w:sz="8" w:color="0000EE"/>
              <w:bottom w:val="single" w:sz="8" w:color="auto"/>
            </w:tcBorders>
          </w:tcPr>
          <w:p>
            <w:pPr>
              <w:spacing w:after="0"/>
              <w:rPr>
                <w:sz w:val="18"/>
                <w:szCs w:val="18"/>
                <w:color w:val="auto"/>
              </w:rPr>
            </w:pPr>
          </w:p>
        </w:tc>
        <w:tc>
          <w:tcPr>
            <w:tcW w:w="20" w:type="dxa"/>
            <w:vAlign w:val="bottom"/>
            <w:tcBorders>
              <w:top w:val="single" w:sz="8" w:color="0000EE"/>
              <w:bottom w:val="single" w:sz="8" w:color="auto"/>
            </w:tcBorders>
          </w:tcPr>
          <w:p>
            <w:pPr>
              <w:spacing w:after="0"/>
              <w:rPr>
                <w:sz w:val="18"/>
                <w:szCs w:val="18"/>
                <w:color w:val="auto"/>
              </w:rPr>
            </w:pPr>
          </w:p>
        </w:tc>
        <w:tc>
          <w:tcPr>
            <w:tcW w:w="140" w:type="dxa"/>
            <w:vAlign w:val="bottom"/>
            <w:tcBorders>
              <w:top w:val="single" w:sz="8" w:color="0000EE"/>
              <w:bottom w:val="single" w:sz="8" w:color="auto"/>
            </w:tcBorders>
          </w:tcPr>
          <w:p>
            <w:pPr>
              <w:spacing w:after="0"/>
              <w:rPr>
                <w:sz w:val="18"/>
                <w:szCs w:val="18"/>
                <w:color w:val="auto"/>
              </w:rPr>
            </w:pPr>
          </w:p>
        </w:tc>
        <w:tc>
          <w:tcPr>
            <w:tcW w:w="240" w:type="dxa"/>
            <w:vAlign w:val="bottom"/>
            <w:tcBorders>
              <w:top w:val="single" w:sz="8" w:color="0000EE"/>
              <w:bottom w:val="single" w:sz="8" w:color="auto"/>
            </w:tcBorders>
          </w:tcPr>
          <w:p>
            <w:pPr>
              <w:spacing w:after="0"/>
              <w:rPr>
                <w:sz w:val="18"/>
                <w:szCs w:val="18"/>
                <w:color w:val="auto"/>
              </w:rPr>
            </w:pPr>
          </w:p>
        </w:tc>
        <w:tc>
          <w:tcPr>
            <w:tcW w:w="400" w:type="dxa"/>
            <w:vAlign w:val="bottom"/>
            <w:tcBorders>
              <w:top w:val="single" w:sz="8" w:color="0000EE"/>
              <w:bottom w:val="single" w:sz="8" w:color="auto"/>
            </w:tcBorders>
          </w:tcPr>
          <w:p>
            <w:pPr>
              <w:spacing w:after="0"/>
              <w:rPr>
                <w:sz w:val="18"/>
                <w:szCs w:val="18"/>
                <w:color w:val="auto"/>
              </w:rPr>
            </w:pPr>
          </w:p>
        </w:tc>
        <w:tc>
          <w:tcPr>
            <w:tcW w:w="160" w:type="dxa"/>
            <w:vAlign w:val="bottom"/>
            <w:tcBorders>
              <w:top w:val="single" w:sz="8" w:color="0000EE"/>
              <w:bottom w:val="single" w:sz="8" w:color="auto"/>
            </w:tcBorders>
          </w:tcPr>
          <w:p>
            <w:pPr>
              <w:spacing w:after="0"/>
              <w:rPr>
                <w:sz w:val="18"/>
                <w:szCs w:val="18"/>
                <w:color w:val="auto"/>
              </w:rPr>
            </w:pPr>
          </w:p>
        </w:tc>
        <w:tc>
          <w:tcPr>
            <w:tcW w:w="260" w:type="dxa"/>
            <w:vAlign w:val="bottom"/>
            <w:tcBorders>
              <w:top w:val="single" w:sz="8" w:color="0000EE"/>
              <w:bottom w:val="single" w:sz="8" w:color="auto"/>
            </w:tcBorders>
          </w:tcPr>
          <w:p>
            <w:pPr>
              <w:spacing w:after="0"/>
              <w:rPr>
                <w:sz w:val="18"/>
                <w:szCs w:val="18"/>
                <w:color w:val="auto"/>
              </w:rPr>
            </w:pPr>
          </w:p>
        </w:tc>
        <w:tc>
          <w:tcPr>
            <w:tcW w:w="100" w:type="dxa"/>
            <w:vAlign w:val="bottom"/>
            <w:tcBorders>
              <w:top w:val="single" w:sz="8" w:color="0000EE"/>
              <w:bottom w:val="single" w:sz="8" w:color="auto"/>
            </w:tcBorders>
          </w:tcPr>
          <w:p>
            <w:pPr>
              <w:spacing w:after="0"/>
              <w:rPr>
                <w:sz w:val="18"/>
                <w:szCs w:val="18"/>
                <w:color w:val="auto"/>
              </w:rPr>
            </w:pPr>
          </w:p>
        </w:tc>
        <w:tc>
          <w:tcPr>
            <w:tcW w:w="40" w:type="dxa"/>
            <w:vAlign w:val="bottom"/>
            <w:tcBorders>
              <w:top w:val="single" w:sz="8" w:color="0000EE"/>
              <w:bottom w:val="single" w:sz="8" w:color="auto"/>
            </w:tcBorders>
          </w:tcPr>
          <w:p>
            <w:pPr>
              <w:spacing w:after="0"/>
              <w:rPr>
                <w:sz w:val="18"/>
                <w:szCs w:val="18"/>
                <w:color w:val="auto"/>
              </w:rPr>
            </w:pPr>
          </w:p>
        </w:tc>
        <w:tc>
          <w:tcPr>
            <w:tcW w:w="380" w:type="dxa"/>
            <w:vAlign w:val="bottom"/>
            <w:tcBorders>
              <w:top w:val="single" w:sz="8" w:color="0000EE"/>
              <w:bottom w:val="single" w:sz="8" w:color="auto"/>
            </w:tcBorders>
          </w:tcPr>
          <w:p>
            <w:pPr>
              <w:spacing w:after="0"/>
              <w:rPr>
                <w:sz w:val="18"/>
                <w:szCs w:val="18"/>
                <w:color w:val="auto"/>
              </w:rPr>
            </w:pPr>
          </w:p>
        </w:tc>
        <w:tc>
          <w:tcPr>
            <w:tcW w:w="1360" w:type="dxa"/>
            <w:vAlign w:val="bottom"/>
            <w:tcBorders>
              <w:top w:val="single" w:sz="8" w:color="0000EE"/>
              <w:bottom w:val="single" w:sz="8" w:color="auto"/>
            </w:tcBorders>
          </w:tcPr>
          <w:p>
            <w:pPr>
              <w:spacing w:after="0"/>
              <w:rPr>
                <w:sz w:val="18"/>
                <w:szCs w:val="18"/>
                <w:color w:val="auto"/>
              </w:rPr>
            </w:pPr>
          </w:p>
        </w:tc>
        <w:tc>
          <w:tcPr>
            <w:tcW w:w="6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468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0000EE"/>
              <w:bottom w:val="single" w:sz="8" w:color="auto"/>
            </w:tcBorders>
          </w:tcPr>
          <w:p>
            <w:pPr>
              <w:spacing w:after="0"/>
              <w:rPr>
                <w:sz w:val="18"/>
                <w:szCs w:val="18"/>
                <w:color w:val="auto"/>
              </w:rPr>
            </w:pPr>
          </w:p>
        </w:tc>
        <w:tc>
          <w:tcPr>
            <w:tcW w:w="60" w:type="dxa"/>
            <w:vAlign w:val="bottom"/>
            <w:tcBorders>
              <w:top w:val="single" w:sz="8" w:color="0000EE"/>
              <w:bottom w:val="single" w:sz="8" w:color="auto"/>
            </w:tcBorders>
          </w:tcPr>
          <w:p>
            <w:pPr>
              <w:spacing w:after="0"/>
              <w:rPr>
                <w:sz w:val="18"/>
                <w:szCs w:val="18"/>
                <w:color w:val="auto"/>
              </w:rPr>
            </w:pPr>
          </w:p>
        </w:tc>
        <w:tc>
          <w:tcPr>
            <w:tcW w:w="100" w:type="dxa"/>
            <w:vAlign w:val="bottom"/>
            <w:tcBorders>
              <w:top w:val="single" w:sz="8" w:color="0000EE"/>
              <w:bottom w:val="single" w:sz="8" w:color="auto"/>
            </w:tcBorders>
          </w:tcPr>
          <w:p>
            <w:pPr>
              <w:spacing w:after="0"/>
              <w:rPr>
                <w:sz w:val="18"/>
                <w:szCs w:val="18"/>
                <w:color w:val="auto"/>
              </w:rPr>
            </w:pPr>
          </w:p>
        </w:tc>
        <w:tc>
          <w:tcPr>
            <w:tcW w:w="80" w:type="dxa"/>
            <w:vAlign w:val="bottom"/>
            <w:tcBorders>
              <w:top w:val="single" w:sz="8" w:color="0000EE"/>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or additional information, you should not rely on it. We do not take responsibility for, and can provide no assurance as to the reliability of, any other information that others may provide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Securities and Exchange Commission (the “SEC”) using a “shelf” registration process.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for an aggregate offering amount of up to $50,000,000, subject to the Baby Shelf Limitation.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additional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any additional information incorporated by reference herein and therein, contains important information you should know before investing in our securities, including important information about us and the securities being offered. You should carefully read both documents, as well as the additional information contained in the documents described in the sections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in this prospectus and any applicable prospectus supplement.</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Neither this prospectus nor any accompanying prospectus supplement is an offer to sell these securities or is soliciting an offer to buy these securities in any jurisdiction where the offer or sale is not permitted.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in the section of this prospectus entitled “</w:t>
      </w:r>
      <w:r>
        <w:rPr>
          <w:rFonts w:ascii="Times New Roman" w:cs="Times New Roman" w:eastAsia="Times New Roman" w:hAnsi="Times New Roman"/>
          <w:sz w:val="18"/>
          <w:szCs w:val="18"/>
          <w:i w:val="1"/>
          <w:iCs w:val="1"/>
          <w:color w:val="auto"/>
        </w:rPr>
        <w:t>Incorporation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 to:</w:t>
      </w:r>
    </w:p>
    <w:p>
      <w:pPr>
        <w:spacing w:after="0" w:line="185" w:lineRule="exact"/>
        <w:rPr>
          <w:sz w:val="20"/>
          <w:szCs w:val="20"/>
          <w:color w:val="auto"/>
        </w:rPr>
      </w:pPr>
    </w:p>
    <w:p>
      <w:pPr>
        <w:ind w:left="980" w:right="20" w:hanging="324"/>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Convertible Debentures” means the additional Convertible Debentures issuable pursuant to the exercise of the additional investment right granted under the Purchase Agreement.</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means the articles of incorporation of Expion Energy, as amended.</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 Right” means the right of the purchasers under the Purchase Agreement to elect to purchase the AIR Convertible Debentures in the aggregate principal amount of up to $91,000,000 at any time during the 18-month period following the Effective Date, as that term is defined in the Purchase Agreement.</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2026 Warrants” means the Amended and Restated Common Stock Purchase Warrants, with an exercise price of $4.25 per share, issued by Expion Energy pursuant to the Purchase Agreement.</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the bylaws of Expion Energy, as amended.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shares of common stock, par value $0.001 per share, of Expion Energy.</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Debentures” means the Amended and Restated 8% Convertible Debentures Due August 21, 2029 issued by Expion Energy pursuant to the Purchase Agreement.</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Cap” means 19.99% of our outstanding shares of common stock as of immediately prior to execution of the Purchase Agreement, including the shares issuable upon conversion of, or payment of interest on, the Convertible Debentures and the AIR Convertible Debentures, and exercise of the August 2026 Warrants.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“Expion Energy,” the “Company,” “we,” “us,” and “our” means Expion Energy, Inc., a Nevada corporation.</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Agreement” means that certain Amended and Restated Securities Purchase Agreement, dated October 22, 2026, which amends and restates that certain Securities Purchase Agreement dated August 21, 2026, between Expion Energy and each purchaser identified on the signature pages thereto.</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Securities and Exchange Commission.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documents incorporated by reference herein or therein may include “forward-looking statements” within the meaning of Section 27A of the Securities Act and Section 21E of the Exchange Act. All statements in this prospectus, together with any accompanying prospectus supplement, and the documents incorporated by reference herein or therein, other than statements of historical fact, are “forward-looking statements” for purposes of these provisions, including, without limitation, any projections regarding the markets where we operate, any statements of the plans and objectives of our management for future operations, any statements concerning proposed new products or services, any statements regarding expected capital expenditures, any statements regarding future economic conditions or performance, and any statements of assumptions underlying any of the foregoing. All forward-looking statements included in this prospectus and the documents incorporated by reference herein are made as of the date hereof or thereof, as applicable, and are based on information available to us as of such dates. We assume no obligation to update any forward-looking statement. In some cases, forward-looking statements can be identified by the use of terminology such as “may,” “will,” “expects,” “plans,” “should,” “anticipates,” “intends,” “seeks,” “believes,” “estimates,” “potential,” “forecasts,” “continue,” or other forms of these words or similar words or expressions, or the negative thereof or other comparable terminology. Although we believe that the expectations reflected in the forward-looking statements contained herein are reasonable, there can be no assurance that such expectations or any of the forward-looking statements will prove to be correct. Actual results will likely differ, and could differ materially, from those projected or assumed in the forward-looking statements. Prospective investors are cautioned not to unduly rely on any such forward-looking statements.</w:t>
      </w:r>
    </w:p>
    <w:p>
      <w:pPr>
        <w:spacing w:after="0" w:line="15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14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extremely competitive industries and are subject to pricing pressures.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may not be able to generate sufficient revenue to achieve and sustain profitability.</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could be adversely affected by changes in the cost and availability of raw materials and our reliance on third-party manufacturers and suppliers.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any of our battery components such as electronic and mechanical parts could harm our business.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raise additional capital on acceptable terms or at all, and our failure to obtain additional financing could adversely affect our ability to continue as a going concern.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customer concentration, with a limited number of customers accounting for a substantial portion of our sales, and the loss of or reduction in purchases by any of these customers could adversely affect our results of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our sales and distribution channels, our business could suffer.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could negatively affect our results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 w:name="page9"/>
    <w:bookmarkEnd w:id="8"/>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on imported battery components may increase our costs, and we may be unable to fully mitigate such increases.</w:t>
      </w:r>
    </w:p>
    <w:p>
      <w:pPr>
        <w:spacing w:after="0" w:line="198"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will likely continue to be, dependent on a limited number of warehouse facilities. If our facilities become inoperable for any reason, our ability to produce our products could be negatively impacted.</w:t>
      </w:r>
    </w:p>
    <w:p>
      <w:pPr>
        <w:spacing w:after="0" w:line="12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product liability or warranty claims relating to our products, including the components thereof, which could reduce market adoption, result in reputation damage, and result in significant costs and liabilities, which would reduce our profitability. Drilling and exploration activities for oil and natural gas are inherently uncertain and subject to many risks, and we may not be able to demonstrate the commercial viability of the prospect, which would have a material adverse impact on our business, financial condition and results of operations.</w:t>
      </w:r>
    </w:p>
    <w:p>
      <w:pPr>
        <w:spacing w:after="0" w:line="13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acquire additional leases, and even if we expand our leasehold position, there is no assurance that additional acreage will result in commercially productive operations.</w:t>
      </w:r>
    </w:p>
    <w:p>
      <w:pPr>
        <w:spacing w:after="0" w:line="134"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prices are highly volatile, and our future financial performance is substantially dependent on prevailing prices of oil and natural gas.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complex federal, state, local and other laws and regulations that could adversely affect the timing, cost, manner or feasibility of conducting our operations and expose us to significant costs and liabilities.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introduce new products and product enhancements that respond to customer and end consumer demand, and any broad market acceptance of new technologies introduced by our competitors, could adversely affect our business.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proprietary intellectual property and technology and we may need to defend ourselves against intellectual property infringement claims.</w:t>
      </w:r>
    </w:p>
    <w:p>
      <w:pPr>
        <w:spacing w:after="0" w:line="134"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other strategic transactions that we complete may not achieve their intended benefits and may involve significant costs, diversion of management attention and resources, integration difficulties, or unanticipated liabilities, and may have adverse effects on our financial condition and results of operations.</w:t>
      </w:r>
    </w:p>
    <w:p>
      <w:pPr>
        <w:spacing w:after="0" w:line="13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electronic data is compromised, or we experience a failure in our information technology or storage systems, our business could be significantly harmed.</w:t>
      </w:r>
    </w:p>
    <w:p>
      <w:pPr>
        <w:spacing w:after="0" w:line="12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 especially if we are unable to obtain stockholder approval of the issuance of shares of common stock upon conversion of the Convertible Debentures and the AIR Convertible Debentures in excess of the Exchange Cap, which could make us unable to fund our capital requirements and prevent us from pursuing our business strategy.</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other key employees, and significant attrition within our management team or unsuccessful succession planning could adversely affect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compliance with the continued listing requirements of The Nasdaq Capital Market, including the minimum bid price requirement or market value of listed securities requirement, which could result in the delisting of our common stock.</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fluctuate significantly, and stockholders may lose some or all of their investment.</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our common stock upon the conversion or exercise of the securities issued or issuable in our private placement will cause substantial dilution to our existing stockholders.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additional funding under the Additional Investment Right is subject to the sole discretion of the purchasers, and if the purchasers do not exercise the Additional Investment Right, our ability to raise capital may be materially limited.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private placement may have the effect of preventing, deterring, or increasing the cost of, our future capital raising activities.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of the Convertible Debentures and the AIR Convertible Debentures are subject to adjustment, which may result in additional dilution to our existing stockholders.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Debentures and the AIR Convertible Debentures will bear interest, and we may be unable to pay interest when due or to repay the principal amount at maturity.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under the Convertible Debentures or the AIR Convertible Debentures could result in acceleration of amounts owed and other remedies that could materially harm our business.</w:t>
      </w:r>
    </w:p>
    <w:p>
      <w:pPr>
        <w:spacing w:after="0" w:line="159" w:lineRule="exact"/>
        <w:rPr>
          <w:rFonts w:ascii="Times New Roman" w:cs="Times New Roman" w:eastAsia="Times New Roman" w:hAnsi="Times New Roman"/>
          <w:sz w:val="18"/>
          <w:szCs w:val="18"/>
          <w:color w:val="auto"/>
        </w:rPr>
      </w:pPr>
    </w:p>
    <w:p>
      <w:pPr>
        <w:ind w:left="328" w:hanging="328"/>
        <w:spacing w:after="0" w:line="284"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in the documents incorporated by reference herein, including our latest Annual Report on Form 10-K.</w:t>
      </w:r>
    </w:p>
    <w:p>
      <w:pPr>
        <w:spacing w:after="0" w:line="1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48" w:right="339" w:bottom="1440" w:gutter="0" w:footer="0" w:header="0"/>
        </w:sectPr>
      </w:pPr>
    </w:p>
    <w:bookmarkStart w:id="9" w:name="page10"/>
    <w:bookmarkEnd w:id="9"/>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Moreover, new risks and uncertainties emerge occasionally, and it is not possible for us to predict all risks and uncertainties, nor can we assess the impact of all factors on our business, or the extent to which any factor, or combination of factors, may cause our actual future results to be materially different from any results expressed in or implied by any forward-looking statements. Financial estimates are subject to change and are not intended to be relied upon as predictions of future results of operations. Except as required by applicable law or the listing rules of The Nasdaq Stock Market, we expressly disclaim any intent or obligation to update any forward-looking statements. If we do update or correct any forward-looking statements, investors and others should not conclude that we will make additional updates or corrections. All forward-looking statements attributable to us or persons acting on our behalf are expressly qualified in their entirety by these cautionary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summary highlights information contained in greater details elsewhere in this prospectus or incorporated by reference into this prospectus. This summary is not complete and does not contain all of the information you should consider in making your investment decision. You should read the entire prospectus, any applicable prospectus supplement and the documents we have incorporated by reference in this prospectus carefully before making an investment in our securities. You should carefully consider, among other things, our financial statements and related notes and the information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incorporated by reference into this prospectus from our filings with the SEC. See also the sections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Lithium Battery Business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Expion Energy, formerly known as Expion360 Inc., focuses on the design, assembly, manufacturing, and sale of lithium iron phosphate (“LiFePO4”) batteries and supporting accessories for recreational vehicles (“RVs”), marine applications, and industrial energy storage products. Our high-powered lithium battery solutions incorporate innovative concepts and have been designed to include some of the most dense and minimal-footprint batteries in the RV and marine industries. We deploy intellectual property strategies to support product development, enhance safety and performance, and strengthen relationships across our target markets. This includes design, development, and collaboration, using our IP to bring safety, quality, and service to our customers. Our customers consist of dealers, wholesalers, private-label customers, and original equipment manufacturers (“OEMs”) who then sell our products to end consumers and drive brand awareness nationally.</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target markets include the RV, marine, industrial, and commercial energy storage industries. Within the industrial sector, we participate in applications such as electric material handling and forklift equipment, where lithium battery adoption continues to increase as an alternative to traditional lead-acid systems. We believe the broader transition from lead-acid to lithium batteries presents growth opportunities across these markets.</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current focus areas, we are evaluating opportunities to expand further into industrial and mission-critical commercial applications that require integrated battery energy storage solutions. These may include mobile and stationary systems supporting remote operations, security infrastructure, and other environments that require a high degree of reliability. While we continue to assess these industrial and adjacent markets, our current commercial activities remain concentrated in our established RV, marine, and industrial segments.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battery products provide numerous advantages for various industries that are looking to migrate to lithium-based energy storage. They incorporate detailed design and engineering, strong case materials, optimized internal structural layouts, and are supported by responsive customer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Gas Opportunity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entering the oil and gas sector to capture rising demand driven by power generation needs, industrial growth, and long-term expansion of LNG markets. We will target opportunistic growth through selective acquisitions and development projects that provide scale, enhance value, and support sustained stockholder value.</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21, 2026, we entered into a membership interest purchase agreement (the “Membership Interest Purchase Agreement”) pursuant to which we acquired all of the issued and outstanding membership interests of the target company (the “Target”). The Target owns and controls assets related to an oil and gas exploration opportunity (the “Prospect”) encompassing an area of mutual interest in Eastern Louisiana targeting multiple stacked benches within a specific gas reservoir (the “AMI”). The Target’s assets include an existing oil and gas leasehold of approximately 3,000 net acres within the AMI, a wellbore (the “Well”), mineral title research covering approximately 13,000 net acres, and intellectual property developed in connection with the Prospect.</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execution of the Membership Interest Purchase Agreement, we entered into an exploration agreement (the “Exploration Agreement”) with the Target. The Exploration Agreement addresses: (i) existing leases for the approximately 3,000 net acres the Target already owns, (ii) leases for acreage within the AMI that was previously leased, and (iii) new leases intended to be acquired within the AMI representing the expansion of the acreage footprint.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0" w:name="page11"/>
    <w:bookmarkEnd w:id="1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Exploration Agreement, we are required to use commercially reasonable efforts to initiate a mandatory well operation consisting of directional drilling of a new lateral wellbore out of the Well, with a total measured lateral length of no less than 4,000 feet, to a mutually agreed bottom-hole location and true vertical depth (the “Mandatory Well Operation”). The Exploration Agreement contemplates that the Mandatory Well Operation will occur no later than February 15, 2027, subject to customary exceptions.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21, 2026, we entered into the Purchase Agreement, as subsequently amended on October 22, 2026, providing for the issuance and sale of:</w:t>
      </w:r>
    </w:p>
    <w:p>
      <w:pPr>
        <w:spacing w:after="0" w:line="27" w:lineRule="exact"/>
        <w:rPr>
          <w:sz w:val="20"/>
          <w:szCs w:val="20"/>
          <w:color w:val="auto"/>
        </w:rPr>
      </w:pPr>
    </w:p>
    <w:p>
      <w:pPr>
        <w:jc w:val="both"/>
        <w:ind w:firstLine="8"/>
        <w:spacing w:after="0" w:line="251" w:lineRule="auto"/>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Debentures, in an aggregate principal amount of $9,000,000, which, upon obtaining stockholder approval, will initially become convertible into up to 2,117,219 shares of common stock based on an initial conversion price of $4.25 per share, and (ii) August 2026 Warrants to purchase up to 2,117,219 shares of common stock at an exercise price of $4.25 per share (the “Private Placement”). Five Narrow Lane, LP (“FNL”) was the lead purchaser in the Private Placement. Our former Chief Executive Officer and Chairman of the Board, Joseph Hammer, serves as a managing member of the general partner of FNL and may be deemed to share voting and dispositive power over the shares of common stock issuable upon conversion of the Convertible Debentures and the AIR Convertible Debentures, and upon exercise of the August 2026 Warrants. Pursuant to the Purchase Agreement, the purchasers in the Private Placement may also elect to purchase the AIR Convertible Debentures in the aggregate principal amount of up to $91,000,000 at any time during the 18-month period following the Effective Date, as that term is defined in the Purchase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were initially organized as a limited liability company under the name “Yozamp Products Company, LLC” in the State of Oregon on June 16, 2016, and converted to a Nevada corporation under the name “Expion360 Inc.” pursuant to articles of conversion dated as of November 16, 2021.</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recently changed our corporate name from “Expion360 Inc.” to “Expion Energy, Inc.” to better align with our expanded energy platform and broadened operating strategy.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2025 SW Deerhound Avenue, Redmond, Oregon 97756, and our phone number is (541) 797-6714.</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website is www.expion360.com. The information contained on, or that can be accessed through, our website is not a part of this prospectus or the registration statement of which it forms a part. The inclusion of our website address in this prospectus is an inactive textual reference only. Investors should not rely on any such information in deciding whether to purchase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An emerging growth company may take advantage of specified reduced reporting and other burdens that are otherwise applicable generally to public companies. These provisions include:</w:t>
      </w:r>
    </w:p>
    <w:p>
      <w:pPr>
        <w:spacing w:after="0" w:line="14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requiring mandatory audit firm rotation;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arrangements;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requirement to seek nonbinding advisory votes on executive compensation or golden parachute arrangements.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take advantage of some or all these provisions until we are no longer an emerging growth company. We will remain an emerging growth company until the earlier to occur of (a) (i) the end of the fiscal year following the fifth anniversary of the completion of our initial public offering, (ii) the last day of the fiscal year in which we have total annual gross revenues of at least $1.235 billion, or (iii) the last day of the fiscal year in which we are deemed to be a “large accelerated filer” under SEC rules, which means the market value of our common stock that is held by non-affiliates exceeds $700.0 million as of the prior June 30th, and (b) the date on which we have issued more than $1.0 billion in non-convertible debt during the prior three-year period. We have elected to use this extended transition period under the JOBS Act. As a result, our financial statements may not be comparable to the financial statements of issuers that are required to comply with the effective dates for new or revised accounting standards that are applicable to public companies, which may make comparison of our financials to those of other public companies more difficult.</w:t>
      </w:r>
    </w:p>
    <w:p>
      <w:pPr>
        <w:spacing w:after="0" w:line="1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qualify as a “smaller reporting company” (and may continue to qualify as such even after we no longer qualify as an emerging growth company) as defined in the Exchange Act, and accordingly may provide less public disclosure than larger public companies, including the inclusion of only two years of audited financial statements and only two years of related selected financial data and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the securities offered pursuant to this prospectus and any applicable prospectus supplement involves a high degree of risk. You should consider carefully the risks described below, as well as the risk factors contained in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or incorporated by reference into any applicable prospectus supplement before acquiring any of such securities.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contained or incorporated by reference into this prospectus and in any applicable prospectus supplement.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Oil and Gas Exploration Opportunity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Drilling and exploration activities for oil and natural gas are inherently uncertain and subject to many risks, and we may not be able to demonstrate the commercial viability of the Prospect, which would have a material adverse impact on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21, 2026, we acquired an oil and gas exploration opportunity (the “Prospect”) encompassing an area of mutual interest (the “AMI”) in Eastern Louisiana targeting multiple stacked benches within a specific gas reservoir (the “Acquisition”). The Acquisition included an existing oil and gas leasehold of approximately 3,000 net acres, a single wellbore (the “Well”), mineral title research covering approximately 13,000 net acres, and intellectual property developed in connection with the Prospect. Pursuant to the Acquisition, we have committed to invest up to $4,000,000 to finance a leasing program, with no less than $2,500,000 dedicated to leasing activities. Concurrent with the Acquisition, we entered into an Exploration Agreement with a local counterparty to serve as lease manager (the “Lease Manager”). Under the Exploration Agreement, our exploration activities will initially be concentrated within the AMI, and we will initiate a mandatory well operation consisting of directional drilling of a new lateral wellbore out of the Well (the “Mandatory Well Operation”).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Drilling and exploration activities are inherently uncertain and subject to many risks, including the risk that no commercially productive oil or natural gas reservoirs will be encountered, which is exacerbated as a result of our initial focus on a narrow geographic area and single well. Our current business strategy depends, to a large extent, on our ability to demonstrate the commercial viability of the Prospect, and there can be no assurance that the Well, the Mandatory Well Operation, or any new wells drilled by us, will be commercially productive. If we do not achieve commercial production from the Prospect, we may be unable to recover our acquisition, leasing, drilling and development costs, in which case our business, financial condition and results of operations would be materially adversely affected.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gas reservoir formation we are targeting, while situated in a regional trend with numerous analog field discoveries, has not been proven commercially productive within the area of our leasehold. There is no way to predict in advance of testing and drilling whether any particular location will yield oil or natural gas in sufficient quantities to recover drilling and completion costs, or to become commercially viable. The use of technologies and the study of producing fields in the same area, will not enable us to know conclusively prior to testing and drilling whether oil or natural gas will be present or, if present, whether it will be present in sufficient quantities to become commercially viable.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cost of testing, drilling and operating any well is subject to significant risks and uncertainties, and our future drilling activities may not be successful. Under the Exploration Agreement, we are required to use commercially reasonable efforts to initiate the Mandatory Well Operation by February 15, 2027 (the “Commencement Date”), subject to certain exceptions. Our inability to achieve drilling success leading to commercial viability of our exploration opportunity would have a material adverse effect on our financial condition, results of operations and prospects. Our drilling operations may be curtailed, delayed, or cancelled as a result of a variety of factors, many of which are beyond our control, including unexpected or adverse drilling conditions, weather conditions, elevated pressure or irregularities in the geologic formation, equipment failures or accidents, shortages or delays in the availability of drilling rigs and equipment, title problems, compliance with legal and regulatory requirements, and macroeconomic conditions. If events, conditions or occurrences, whether within or beyond our control, prevent us from commencing the Mandatory Well Operation by the Commencement Date, it would result in a number of risks and challenges to our business, which may include preventing us from retaining or expanding our leasehold interests, making it more difficult to raise additional funding, and creating reputational harm for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2" w:name="page13"/>
    <w:bookmarkEnd w:id="1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the Exploration Agreement covers a specific geological formation in Eastern Louisiana, and our current leasehold is concentrated within a limited geographic area centered around the Well, there is a significant risk that no commercially productive oil or natural gas reservoirs will be found or produced. We intend to expand the Prospect’s acreage footprint by re-leasing expired tracts and acquiring new leases within the AMI, but there can be no assurance that we will be able to acquire such additional acreage on commercially acceptable terms, or at all. Our failure to commence the Mandatory Well Operation by the Commencement Date may negatively impact our leasing activities. In addition, we may drill or participate in new wells that are not productive, or drill wells that are productive, but that do not produce sufficient net revenues to return a profit after drilling, operating and other costs. Even if sufficient amounts of oil or natural gas exist, we may experience mechanical difficulties while drilling or completing a well, inadvertently damage the potentially productive hydrocarbon bearing formation, or experience other difficulties with extracting the resources, any of which could force us to reduce production from the well or abandon the well entirely. Further, an otherwise productive well may become uneconomical if water or other deleterious substances are encountered which impair or prevent production activities. If we are unable to achieve commercial production from the Well, or to drill or participate in new wells that are commercially productive, it would have a material adverse impact on our business, financial condition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acquire additional leases, and even if we expand our leasehold position, there is no assurance that additional acreage will result in commercially productive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 the early stages of evaluating the Prospect, have a limited acreage footprint, have no current infrastructure, and have not established any proved reserves. Our strategy involves the expansion of the Prospect’s acreage footprint by re-leasing expired tracts and acquiring new leases within the AMI. However, our leasing program depends on a number of factors, including the availability of suitable acreage, landowners’ willingness to grant or renew leases on acceptable terms, prevailing market conditions, and our available capital at the time leasing decisions are made. Many of the tracts previously leased by our predecessor expired between 2021 and 2023, and there is no assurance that the former lessors will agree to re-lease their interests. If we cannot expand our leasehold, we will remain dependent on the existing approximately 3,000 net acre position centered around the Well, which may not be sufficient to support commercially viable operations. In addition, even if we are successful in acquiring additional leases, there is no assurance that the acreage will contain commercially productive formations, support economic well spacing, or produce sufficient net revenues to return a profit after drilling, operating and other costs. If we are unable to expand our acreage through our leasing program, it could prevent us from achieving commercially productive operations, which would have a material adverse impact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Exploration Agreement contains provisions that reduce our net revenue interest in the Prospect and create potential conflicts of interest.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Exploration Agreement reserves overriding royalty interests (“ORRIs”) to both the Lease Manager and Cynergy Advisors, LLC (“Cynergy”), a company affiliated with Kevin Sellers, our Chief Executive Officer and one of our directors, as well as Marc Jarvis, who is also one of our directors. Although granting ORRIs to service providers is common in the industry, as a result of these ORRIs, our net revenue interest in the Prospect is approximately 75%, meaning we will not receive the full economic benefit of any oil and gas production from the Prospect. The ORRIs reduce our share of production revenues while we bear the full cost of drilling, producing, equipping, and operating the Well, as well as any future wells we elect to drill. The ORRIs payable to the Lease Manager survive its removal as lease manager. Our obligation to preserve the ORRIs in favor of the counterparties will reduce the economic benefits of the Prospect to us and our stockholders and may limit our operational flexibility.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Sellers and Mr. Jarvis, as managing members of Cynergy, have indirect material interests in the Cynergy ORRI, which creates a potential conflict of interest in decisions regarding the development, operation, and marketing of the Prospect. Although the appointments of Mr. Sellers and Mr. Jarvis were each approved by the disinterested members of our Board of Directors, there can be no assurance that such conflicts will not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Lease Manager, and any failure by the Lease Manager to perform could delay operations or result in additional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Lease Manager provides critical leasing services for the Prospect, including mineral title research, oversight of leasing agents, supervision of lease broker personnel, lease-database reporting and digital mapping. Although we may remove the Lease Manager at any time for convenience, a transition to a replacement lease manager could cause delays, loss of project knowledge, and additional costs. In addition, the ORRIs payable to the Lease Manger survive its removal as lease manager.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Oil and natural gas prices are highly volatile, and our future financial performance is substantially dependent on prevailing prices of oil and natural gas.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markets for oil and natural gas have been volatile and we expect these markets will continue to be volatile in the future. Even assuming we are able to achieve commercial production based on our drilling and exploration activities, the prices we receive for our production, and the levels of production we are able to achieve over time, will depend on numerous factors including: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supply and demand for oil and natural gas;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the Organization of Petroleum Exporting Countries;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price and quantity of imports of foreign oil and natural gas;</w:t>
      </w:r>
    </w:p>
    <w:p>
      <w:pPr>
        <w:spacing w:after="0" w:line="224" w:lineRule="exact"/>
        <w:rPr>
          <w:rFonts w:ascii="Times New Roman" w:cs="Times New Roman" w:eastAsia="Times New Roman" w:hAnsi="Times New Roman"/>
          <w:sz w:val="22"/>
          <w:szCs w:val="22"/>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political conditions and events, including wars, outbreaks of hostilities, embargoes, and tariffs affecting oil-producing activity;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oil and natural gas exploration and production activity;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oil and natural gas inventories;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concerns about global warming or changes in governmental policies and regulations due to climate change initiatives.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strategy involves achieving commercial production from the Prospect at levels that will allow us to generate net revenues sufficient for us to recover our acquisition, leasing, drilling and development costs, and to realize and sustain profitable operations. Volatile oil and natural gas prices make it difficult to estimate the level of revenue expected to be achieved based on a projected level of production, which in turn makes it difficult to forecast financial results and prepare accurate budgets. A decline in oil and natural gas prices relative to our forecasts would reduce our profitability and potentially result in net losses. A decline in prices would also reduce our cash flow from operations, which may require us to reduce capital expenditures, and limit our ability to borrow money or raise additional capital. In addition, a decline in prices may require us to write-down the carrying value of our assets. As a result, a decline in the prices of oil or natural gas, whether relative to historical prices or to our internal projections, could adversely affect our financial condition, operating results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federal, state, local and other laws and regulations that could adversely affect the timing, cost, manner or feasibility of conducting our operations and expose us to significant costs and liabilities.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leasing and operation of oil and natural gas properties in Eastern Louisiana are subject to complex and stringent federal, state, and local laws and regulations. In order to conduct our operations in compliance with these laws and regulations, we must obtain and maintain numerous permits, approvals and certificates from various federal, state and local governmental authorities. We may experience delays in receiving such permits, approvals and certificates. Delays in permitting could result in delays in execution of our drilling and development program, including our failure to commence the Mandatory Well Operation by the Commencement Date. We may incur substantial costs in order to maintain compliance with existing laws and regulations. In addition, our costs of compliance may increase if existing laws and regulations are revised or reinterpreted, or if new laws and regulations become applicable to our operations. Failure to comply with laws and regulations applicable to our operations, including any evolving interpretation and enforcement by governmental authorities, could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third-party contract operator for certain operational functions, and our business could be adversely affected by the inability or failure of the operator to perform its obligations under the agreement.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engaged a third-party contract operator to perform certain operational functions, including well planning, engineering, regulatory filings, contracting, and day-to-day field operations. Our reliance on this third party exposes us to risks associated with its inability or failure to perform its obligations under the agreement, including failure to maintain adequate insurance coverage, comply with applicable health, safety, and environmental requirements, or conduct operations in accordance with industry standards. Any such failure could result in regulatory enforcement actions, delays in our drilling and exploration activities, or damage to the Well or surrounding properties for which we may be held responsible. In addition, the operator is permitted to terminate the agreement for any reason upon 90 days’ written notice to us, and any such termination would require us to identify and retain a new operator, which could result in unanticipated delays in our operations and unexpected costs associated with the transition. Furthermore, our indemnification obligations under the agreement may expose us to significant liabilities arising from the operator’s acts or omissions, which obligations survive termination of the agreement. If any of these risks are realized, it could have a material adverse effect on our business, financial condition, and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larger companies in the oil and gas industry.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oil and gas industry is highly competitive. We compete with larger and better-capitalized companies for acreage, leases, financing, drilling rigs, equipment, personnel, technical expertise and other resources. Many of our competitors have substantially greater financial, technical and operational resources, more established relationships with landowners and service providers, and greater economies of scale. Competition may make it more difficult or costly for us to develop the Prospect, acquire or retain leases, obtain services, finance our activities, or market any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Private Placement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upon the conversion or exercise of the securities issued or issuable in our private placement will cause substantial dilution to our existing stockholders.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21, 2026, we entered into the Purchase Agreement, as subsequently amended on October 22, 2026, with certain investors (the “Purchasers”), pursuant to which we issued $9,000,000 in aggregate principal amount of the Convertible Debentures and August 2026 Warrants to purchase up to 2,117,219 shares of our common stock. Subject to stockholder approval, the Convertible Debentures will initially be convertible into up to 2,117,219 shares of our common stock, based on an initial conversion price of $4.25 per share. Prior to obtaining stockholder approval, the Convertible Debentures will be convertible into a number of shares equal to the Exchange Cap. The issuance of shares upon conversion of the Convertible Debentures will cause immediate dilution to our existing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Purchase Agreement permits the Purchasers to purchase the AIR Convertible Debentures in an aggregate principal amount of up to $91,000,000 at any time during the 18-month period following the Effective Date, as that term is defined in the Purchase Agreement, which will be convertible into shares of our common stock. The conversion price for the AIR Convertible Debentures may be set at prices significantly below the initial conversion price of the Convertible Debentures and will be subject to adjustment pursuant to the anti-dilution provisions, subject to a floor price. The issuance of shares upon conversion of the AIR Convertible Debentures will cause additional dilution to our existing stockholders. As the value of the AIR Convertible Debentures purchased pursuant to the Additional Investment Right increases, and the conversion price of the AIR Convertible Debentures decreases (subject to the floor price ), the level of dilution to our existing stockholders will increase significantly.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combination of the issuance of shares of common stock upon (i) conversion of the Convertible Debentures, (ii) exercise of the August 2026 Warrants, and (iii) conversion of the AIR Convertible Debentures (collectively, the “Conversion Shares”), will have a significant dilutive impact on our existing stockholders. In addition, the subsequent sale of the Conversion Shares in the public market, or the perception that such sales may occur, could adversely affect the trading price of our common stock.</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additional funding under the Additional Investment Right is subject to the sole discretion of the Purchasers, and if the Purchasers do not exercise the Additional Investment Right, our ability to raise capital may be materially limited.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Additional Investment Right, the Purchasers have the right, but not the obligation, to purchase the AIR Convertible Debentures in an aggregate principal amount of up to $91,000,000, which represents a significant capital raising opportunity for us. However, the issuance of shares of common stock upon conversion of the Convertible Debentures and the AIR Convertible Debentures is initially subject to the Exchange Cap. Issuance of shares of common stock upon conversion of the Convertible Debentures and the AIR Convertible Debentures in excess of the Exchange Cap requires the approval of our stockholders and there can be no assurance that our stockholders will grant such approval. If our stockholders do not approve the issuance of shares in excess of the Exchange Cap, the Purchasers may be unwilling to exercise the Additional Investment Right in whole or in part, in which case our ability to receive additional funding upon issuance of the AIR Convertible Debentures may be prevented or limited.</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we obtain stockholder approval to issue shares in excess of the Exchange Cap, the Purchasers are not obligated to exercise the Additional Investment Right and may elect not to invest any additional funds. Each Purchaser’s decision to exercise the Additional Investment Right (and the principal amount of the AIR Convertible Debentures it elects to purchase even if exercised) is within its sole discretion and may depend on factors beyond our control, including our recent financial and operating results, the market price of our common stock, the results of our drilling and exploration activities, prevailing oil and natural gas prices, and general market conditions. In addition, because the conversion price of the AIR Convertible Debentures issuable upon exercise of the Additional Investment Right is subject to a floor price, a decline in the trading price of our common stock may make exercise economically unattractive to the Purchasers. Accordingly, there can be no assurance we will receive all or any portion of the funding potentially available to us under the Additional Investment Right.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require substantial capital to fund our oil and gas exploration opportunity, including commitments under our leasing program, commencement of the Mandatory Well Operation, and further exploration and development of the Prospect. If the Purchasers do not exercise the Additional Investment Right, which may occur as a result of our failure to obtain stockholder approval to issue shares in excess of the Exchange Cap, a decline in the trading price of our common stock, or for other reasons, our ability to obtain alternative financing may be materially limited. If we cannot obtain sufficient capital, we may be required to delay, curtail, or abandon our drilling and exploration activities, or change our business strategy altogether, which would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private placement may have the effect of preventing, deterring, or increasing the cost of, our future capital raising activities.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Purchase Agreement includes a number of restrictive covenants that limit our ability to raise additional capital without the consent of the Purchasers. For example, so long as at least $2,250,000 in aggregate principal amount of the Convertible Debentures remains outstanding, we are restricted from incurring additional indebtedness and creating liens, subject to certain exceptions. In addition, we are prohibited from effecting any Variable Rate Transaction (as defined in the Purchase Agreement) for a period of time following the date of the Purchase Agreement, subject to certain exceptions. In addition, each Purchaser may participate in up to 33% of certain subsequent issuances of our common stock or common stock equivalents for a period of time following the date of the Purchase Agreement. Further, the conversion price of the Convertible Debentures and the AIR Convertible Debentures, as well as the exercise price of the August 2026 Warrants, is subject to reduction if we issue securities at an effective price per share lower than the then-applicable conversion price or exercise price, subject to certain exceptions, which may make it economically unattractive for us to raise capital at prices below the current conversion price or exercise price. These provisions, individually or in the aggregate, may have the effect of preventing, deterring, or increasing the cost of, our future capital raising activities. If we are unable to obtain financing on acceptable terms, or at all, it would have a material adverse effect on our business, financial condition, and results of operations.</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conversion price of the Convertible Debentures and the AIR Convertible Debentures, and the exercise price of the August 2026 Warrants, are subject to adjustment, which may result in additional dilution to our existing stockholders.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conversion price of the Convertible Debentures and the AIR Convertible Debentures, and the exercise price of the August 2026 Warrants, are subject to adjustment upon the occurrence of certain events, including stock splits, stock dividends, combinations, and reclassifications. In addition, if we issue or sell (or are deemed to issue or sell) shares of common stock or common stock equivalents (including the AIR Convertible Debentures) at an effective price per share lower than the then-applicable conversion price or exercise price, the conversion price of the Convertible Debentures, and the exercise price of the August 2026 Warrants, will be reduced to such lower price, subject to a floor price. As a result, if we issue securities at a price below the current conversion price or exercise price, whether in connection with an exercise by the Purchasers of the Additional Investment Right, a future financing, acquisition, or otherwise, it may trigger an adjustment that increases the number of shares issuable upon conversion of the Convertible Debentures, and reduces the exercise price of the August 2026 Warrants, resulting in additional dilution to our existing stockholders beyond that resulting from such future issuance. These provisions may also make it more difficult or expensive for us to raise additional capital at prices below the then-current conversion price or exercise price. If we are unable to obtain financing on acceptable terms, or at all, it would have a material adverse effect on our business, financial condition, and results of operations.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Convertible Debentures and the AIR Convertible Debentures will bear interest, and we may be unable to pay interest when due or to repay the principal amount at maturity.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Convertible Debentures bear interest at a rate of 8% per annum, payable quarterly in arrears, commencing on the one year anniversary of the issuance date, and the AIR Convertible Debentures will bear interest on the same terms upon their issuance. If we do not obtain stockholder approval to issue shares of common stock in excess of the Exchange Cap, a portion of the Convertible Debentures (and all of the AIR Convertible Debentures) will not be convertible into common stock and any remaining unconverted portion will remain outstanding as unsecured debt until their maturity on August 21, 2029. If the Purchasers do not elect to convert the Convertible Debentures prior to maturity, whether as a result of our failure to obtain stockholder approval or otherwise, we will be required to repay up to $9,000,000 in principal amount, together with any accrued and unpaid interest. To the extent any AIR Convertible Debentures are issued, we will also be required to repay the principal amount of the AIR Convertible Debentures, together with any accrued and unpaid interest We may not have sufficient funds available to make interest payments when due, or to repay the remaining principal amount at maturity. Our failure to pay interest when due, or to repay the remaining principal amount at maturity, would constitute an event of default under the Convertible Debentures and the AIR Convertible Debentures, as applicable, which could result in acceleration of the outstanding amounts.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of default under the Convertible Debentures or the AIR Convertible Debentures could result in acceleration of amounts owed and other remedies that could materially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Convertible Debentures contain, and the AIR Convertible Debentures will contain, numerous events of default, including failure to pay principal or interest when due, failure to timely deliver shares upon conversion, failure to maintain the listing of our common stock, breaches of certain covenants, bankruptcy or insolvency, cross-defaults, and the occurrence of certain other events. Upon an event of default, at the election of the holder, all outstanding amounts under the Convertible Debentures and AIR Convertible Debentures, as applicable, may become immediately due and payable. We may not have sufficient funds to repay the accelerated amounts upon an event of default, which would have a material adverse effect on our business, financial condition, and results of operations.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a substantial number of shares of our common stock in the public market, or the perception that such sales could occur, could cause the market price of our common stock to decline significantly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Purchasers have registration rights under the Registration Rights Agreement that require us to register the resale of the Conversion Shares. Once the registration statement is declared effective, the Purchasers will be able to resell the Conversion Shares without restriction (subject to beneficial ownership limitations). The sale of a substantial number of shares of our common stock in the public market, or the perception that such sales could occur, could cause the market price of our common stock to decline significantly. Even if the Purchasers do not sell their shares immediately, the fact that a significant number of shares are eligible for resale may create an “overhang” that reduces the trading price of our common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and other general corporate purposes, including the funding of our capital commitments pursuant to the Exploration Agreement. We may also use a portion of the net proceeds to invest in or acquire assets,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offer shares of common stock or preferred stock, various series of senior or subordinated debt securities or warrants to purchase any of the foregoing, in each case from time to time under this prospectus, together with any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14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articles of incorporation, bylaws and the other documents referred to in herein, all of which are or will be publicly filed with the SEC, as applicable.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all material characteristics of the capital stock of Expion Energy, Inc. as set forth in our Articles of Incorporation, our Bylaws, and the applicable provisions of the Nevada Revised Statutes (the “NRS”). The summary does not purport to be complete and is qualified in its entirety by reference to our Articles and Bylaws, copies of which have been filed as exhibits to our public filings with the SEC, and applicable provisions of the NRS. References to “we,” “our,” “us,” or the “Company” refer to Expion Energy,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21, 2026, we effectuated a 1-for-12 reverse stock split (the “Reverse Stock Split”) and a proportionate decrease in the number of authorized shares of common stock from 200,000,000 to 16,666,666 (the “Authorized Share Decrease”). Pursuant to Section 78.207 of the NRS, no stockholder approval of the Reverse Stock Split or Authorized Share Decrease was required. On July 16, 2026, we filed a certificate of change (the “Certificate of Change”) to the Articles with the Secretary of State of Nevada in accordance with Section 78.209 of the NRS to amend the Articles to effect the Reverse Stock Split and Authorized Share Decrease, effective as of 12:01 a.m. Eastern time on July 21, 2026.</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fractional shares of our common stock were issued as a result of the Reverse Stock Split and instead each holder of our common stock who was otherwise entitled to receive a fractional share as a result of the Reverse Stock Split received one whole share of our common stock in lieu of such fractional share. In addition, the Reverse Stock Split effected a reduction in the number of shares issuable pursuant to our equity awards, warrants and non-plan options outstanding as of the Effective Date of the Reverse Stock Split, and a corresponding increase in the respective exercise prices, conversion prices, reset prices and the like thereunder.</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all references to shares and per share amounts for all periods presented in this prospectus have been adjusted retrospectively, to reflect the impact of the Reverse Stock Split.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16,666,666 shares of common stock, par value $0.001 per share, and 20,000,000 shares of preferred stock, par value $0.001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shares of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October 22, 2026, there were 1,012,498 shares of our common stock issued and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2" w:lineRule="exact"/>
        <w:rPr>
          <w:sz w:val="20"/>
          <w:szCs w:val="20"/>
          <w:color w:val="auto"/>
        </w:rPr>
      </w:pPr>
    </w:p>
    <w:p>
      <w:pPr>
        <w:ind w:right="1720" w:firstLine="324"/>
        <w:spacing w:after="0" w:line="453" w:lineRule="auto"/>
        <w:rPr>
          <w:sz w:val="20"/>
          <w:szCs w:val="20"/>
          <w:color w:val="auto"/>
        </w:rPr>
      </w:pPr>
      <w:r>
        <w:rPr>
          <w:rFonts w:ascii="Times New Roman" w:cs="Times New Roman" w:eastAsia="Times New Roman" w:hAnsi="Times New Roman"/>
          <w:sz w:val="18"/>
          <w:szCs w:val="18"/>
          <w:color w:val="auto"/>
        </w:rPr>
        <w:t xml:space="preserve">We do not currently have an established class or series of preferred stock and no shares of our preferred stock have been issued. </w:t>
      </w:r>
      <w:r>
        <w:rPr>
          <w:rFonts w:ascii="Times New Roman" w:cs="Times New Roman" w:eastAsia="Times New Roman" w:hAnsi="Times New Roman"/>
          <w:sz w:val="18"/>
          <w:szCs w:val="18"/>
          <w:b w:val="1"/>
          <w:bCs w:val="1"/>
          <w:color w:val="auto"/>
        </w:rPr>
        <w:t>Convertible Debentures</w:t>
      </w:r>
    </w:p>
    <w:p>
      <w:pPr>
        <w:spacing w:after="0" w:line="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21, 2026, we entered into the Purchase Agreement, which provided for the issuance and sale of: (i) Convertible Debentures, in an aggregate principal amount of $9,000,000, and (ii) the August 2026 Warrants to purchase up to 2,117,219 shares of common stock.</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Convertible Debentures are our unsecured direct debt obligations and will mature on August 21, 2029. Interest accrues at the Applicable Federal Rate initially, increasing to 8% per annum commencing on the first anniversary of the original issuance date, and is payable quarterly in cash. In the event of default, the interest rate increases by 4% per annum.</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obtaining stockholder approval, the Convertible Debentures will be convertible into a number of shares equal to the Exchange Cap. Subject to stockholder approval, the Convertible Debentures will initially be convertible into up to 2,117,219 shares of our common stock, based on an initial conversion price of $4.25 per share.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permits the Purchasers to purchase the AIR Convertible Debentures in an aggregate principal amount of up to $91,000,000 at any time during the 18-month period following the Effective Date, as that term is defined in the Purchase Agreement. which will be convertible into shares of our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not prepay a Convertible Debentures without the prior written consent of the holder thereof.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2021 Warrants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22, 2021, we issued warrants to purchase 476 shares of common stock at an exercise price of $3,984 per share (the “November 2021 Warrants”), and an expiration date of November 22, 2031. The November 2021 Warrants are subject to adjustment upon the occurrence certain events. As of October 22, 2026, November 2021 Warrants to purchase an aggregate of 437 shares of common stock remained outstanding.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474"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 Warrants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Concurrent with the closing of our initial public offering, we issued warrants to purchase an aggregate of 138 shares of our common stock to Alexander Capital LP and Paulson Investment Company LLC at an exercise price of $10,920 per share, and an expiration date of March 31, 2027 (the “Underwriter Warrants”). On May 2, 2024, the Company entered into amendments to certain of the Underwriter Warrants that had the effect of reducing the exercise price from $10,920 to $5,400 per share for 77 of the Underwriter Warrants, while 61 of the Underwriter Warrants continue to have an exercise price of $10,920 per share. The Underwriter Warrants are subject to adjustment upon the occurrence of certain events. As of October 22, 2026, Underwriter Warrants to purchase an aggregate of 61 shares of our common stock at an exercise price of $10,920 per share remained outstanding, and Underwriter Warrants to purchase an aggregate of 77 shares of our common stock at an exercise price of $5,400 per share remained outstanding.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2024 Warrants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8, 2024, we sold in a public offering, (i) 33,402,000 common units (pre-Reverse Stock Split), each consisting of one share of common stock, two Series A warrants each to purchase one share of our common stock (each, a “Series A Warrant” and collectively, the “Series A Warrants”) and one Series B warrant to purchase such number of shares of our common stock as determined in the Series B warrant (each, a “Series B Warrant” and collectively, the “Series B Warrants”), and (ii) 16,598,000 (pre-Reverse Stock Split) pre-funded units, each consisting of one pre-funded warrants to purchase one share of our common stock (each, a “Pre-Funded Warrant” and collectively, the “Pre-Funded Warrants”), two Series A Warrants, and one Series B Warrant.</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Series A Warrant became exercisable on September 30, 2024, and will expire five years from such date. Each Series A Warrant was initially exercisable at an exercise price of $288 per share of our common stock. The exercise price of the Series A Warrants was subsequently reduced to $62.472 consistent with the terms of the Series A Warrants.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14, 2025, we entered into inducement offer letter agreements with certain holders of the Series A Warrants, which reduced the exercise price from $62.472 to $15.72 per share. On August 22, 2025, the exercise price of all of the outstanding Series A Warrants was reduced from $62.472 per share to $15.72 per share. As of October 22, 2026, Series A Warrants to purchase an aggregate of 75,172 shares of our common stock remained outstanding.</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Series B Warrant was exercisable immediately upon issuance at an exercise price of $1.20 per share. As of October 22, 2026, Series B Warrants to purchase an aggregate of 178 shares of our common stock remained outstanding.</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Pre-Funded Warrant was exercisable immediately upon issuance at an exercise price of $0.001 per share (pre-Reverse Stock Split). As of October 22, 2026, all Pre-Funded Warrants have been exercised.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2025 Warrants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3, 2025, we sold in a public offering (i) 39,516 shares of our common stock, (ii) pre-funded warrants (the “January 2025 Pre-Funded Warrants”) to purchase 47,849 shares of our common stock, and (iii) warrants to purchase 87,366 shares of our common stock at an exercise price of $28.32 per share (the “January 2025 Warrants”). The January 2025 Pre-Funded Warrants were all exercised immediately upon issuance.</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14, 2025, we entered into inducement offer letter agreements with certain holders of the January 2025 Warrants, which reduced the exercise price from $28.32 to $15.72 per share. On August 22, 2025, the exercise price of all of the outstanding January 2025 Warrants was reduced from $28.32 to $15.72 per share. As of October 22, 2026, January 2025 Warrants to purchase an aggregate of 37,433 shares of our common stock remained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2025 Warrants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16, 2025, we sold in a private placement (i) 38,464 shares of our common stock, and (ii) a pre-funded warrant (the “October 2025 Warrant”) to purchase up to 12,042 shares of our common stock. The October 2025 Warrant is exercisable immediately upon issuance for cash or on a cashless basis at the discretion of the holder. The number of pre-funded warrant shares that may be issuable is subject to adjustment for stock splits, recapitalizations, and reorganizations. The holder of the October 2025 Warrant does not have any voting rights, but does have the right to participate in any dividends or distributions made by the Company. As of October 22, 2026, October 2025 Warrants to purchase an aggregate of 2,912 shares of our common stock remained outstanding.</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2026 Warrants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August 2026 Warrants are exercisable for an aggregate of up to 2,117,219 shares of Common Stock and have an initial exercise price per share of $4.25. The August 2026 Warrants have a five-year term and include a cashless exercise feature if no effective registration statement is available at the time of exercise.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22, 2026, we had adopted two stock-based compensation plans, the 2021 Incentive Award Plan (the “2021 Plan”) and the 2021 Employee Stock Purchase Plan (the “2021 ESPP”).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purpose of the 2021 Plan is to enhance our ability to attract, retain, and motivate persons who make (or are expected to make) important contributions to the Company by providing these individuals with equity ownership opportunities. Various stock-based awards may be granted under the 2021 Plan to eligible employees, consultants, and non-employee directors, including options and restricted stock units (“RSUs’). The number of shares issued under the 2021 Plan is subject to an initial limit and is adjusted annually pursuant to an evergreen provision.</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22, 2026, awards covering an aggregate of 113,485 shares were eligible to be issued under the 2021 Plan, of which 17,896 shares underlying options and 95,627 shares underlying RSUs had been granted.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purpose of the 2021 ESPP is to assist our eligible employees in acquiring stock ownership in the Company and to help such employees provide for their future security and to encourage them to remain in the employment of the Company. We may make one or more offerings under the 2021 ESPP. The duration and timing of each offering period may be established or changed by our board of directors, but in no event may an offering period exceed 27 months and in no event may the purchase period for the option exceed the duration of the offering period under which it is established. Option awards are generally granted with an exercise price equal to 85% of the lesser of the fair market value of a share on (a) the applicable grant date and (b) the applicable exercise date, or such other price as designated by the administrator.</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shares have been issued under the 2021 ESPP.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the NRS, and our Articles and Bylaws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relevant provisions of the NRS and our Articles and Bylaws may have the effect of delaying, deferring, or preventing another party from acquiring control of the company. These provisions may discourage and prevent coercive takeover practices and inadequate takeover bids.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NRS Provisions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NRS contain a provision governing the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Our Articles and Bylaws do not exempt our common stock from the control share acquisition act.</w:t>
      </w:r>
    </w:p>
    <w:p>
      <w:pPr>
        <w:spacing w:after="0" w:line="1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control share acquisition act is applicable only to shares of “issuing corporations” as defined pursuant to the NRS. An issuing corporation is a Nevada corporation which: (a) has 200 or more stockholders, with at least 100 of such stockholders being both stockholders of record and residents of Nevada, and (b) does business in Nevada directly or through an affiliated corporation. At this time, we do not believe we have 100 stockholders of record resident of Nevada, and we do not conduct business in Nevada directly. Therefore, we do not believe the provisions of the control share acquisition act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best interest of our stockholders.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2" w:name="page23"/>
    <w:bookmarkEnd w:id="2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Nevada “combination with interested stockholders statute” may also have an effect of delaying or making it more difficult to effect a change in control of us. This statute prevents an “interested stockholder” and a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(a) an aggregate market value equal to 5% or more of the aggregate market value of the assets of the corporation, (b) an aggregate market value equal to 5% or more of the aggregate market value of all outstanding shares of the corporation, or (c) representing 10% or more of the earning power or net income of the corporation.</w:t>
      </w:r>
    </w:p>
    <w:p>
      <w:pPr>
        <w:spacing w:after="0" w:line="16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our board of directors before the interested stockholder acquired such shares. If approval is not obtained, then after the expiration of the three-year period, the business combination may be consummated with the approval of our board of directors or a majority of the voting power held by disinterested stockholders, or if the consideration to be paid by the interested stockholder is at least equal to the highest of: (a) the highest price per share paid by the interested stockholder within the three years immediately preceding the date of the announcement of the combination or in the transaction in which he became an interested stockholder, whichever is higher, (b) the market value per common share on the date of announcement of the combination or the date the interested stockholder acquired the shares, whichever is higher, or (c) if higher for the holders of preferred stock, the highest liquidation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Election of Directors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Articles and Bylaws provide that we shall have at least one and not more than 11 directors. The number of directors within this range may be established and changed from time to time by resolution adopted by our board of directors. Each director shall hold office until his or her successor shall be elected or appointed and qualified or until his or her earlier death, retirement, disqualification, resignation, or removal. The Bylaws provide for the annual election of directors. Any vacancies on our board of directors, and newly created directorships, may be filled by a majority vote of the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NRS, any director may be removed from office with or without cause by the affirmative vote of the holders of not less than two-thirds (2/3) of the voting power of the outstanding capital stock. In addition, a majority of the directors may declare vacant the office of a director who has been declared incompetent by an order of a court of competent jurisdiction, convicted of a felony, or found to be unsuitable to serve as a director.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action shall be taken by our stockholders except at an annual or special meeting of stockholders called and noticed in the manner required by the Bylaws. Our stockholders are not permitted to take action by written consent.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Special meetings of our stockholders may only be called by the Chairman of our board of directors or the Chief Executive Officer, and shall be called by the Secretary upon the written request of at least a majority of the authorized number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NRS requires cumulative voting rights to be provided for within the articles of incorporation. Our Articles are silent as to cumulative voting so our stockholders are not permitted to cumulate votes with respect to the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Charter</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any vote required by the NRS, any amendment of any provision of the Articles must be approved by (a) a majority of the members of our board of directors, and (b) depending on the Article to be amended, by either (i) the affirmative vote of the holders of a majority of the voting power of our outstanding capital stock, or (ii) the affirmative vote of the holders of at least two-thirds of the voting power of our outstanding capital stock.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any annual or special meeting of stockholders, proposals by stockholders and director nominations by stockholders will be considered only if advance notice has been provided by the stockholder as required by the Bylaws. The Bylaws contain specific requirements for the information that must be provided by a stockholder in connection with delivering notice of any such proposals. Notice must generally be delivered to the Company not less than 60 nor more than 90 days prior to the day of the applicable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Provision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Articles include a mandatory forum provision which provides that, to the fullest extent permitted by law, the Nevada Eighth Judicial District of Clark County, Nevada shall be the sole and exclusive forum for: (a) any derivative action or proceeding brought in the name or right of the Company or on its behalf, (b) any action asserting a claim for breach of any fiduciary duty owed by any director, officer, employee or agent of the Company to the Company or the Company’s stockholders, (c) any action arising or asserting a claim arising pursuant to certain provisions of the NRS, or any provision of the Articles or Bylaws, (d) any action to interpret, apply, enforce, or determine the validity of the Articles or Bylaws or (e) any action asserting a claim governed by the internal affairs doctrine.</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exclusive forum provision would not apply to suits brought to enforce any liability or duty created by the Securities Act or the Exchange Act, or any other claim for which federal courts have exclusive jurisdiction. To the extent that any such claims may be based upon federal law, the Exchange Act creates exclusive federal jurisdiction over all suits brought to enforce any duty or liability created by the Exchange Act, or the rules and regulations thereunder. Furthermore, the Securities Act creates concurrent jurisdiction for federal and state courts over all suits brought to enforce any duty or liability created by the Securities Act, or the rules and regulations thereunder, and would preempt the exclusive forum provisions in our Articles with respect to such matters.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 Registration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common stock is the only class of our securities registered under Section 12 of the Exchange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for trading on The Nasdaq Capital Market under the symbol “XPON”.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Pacific Stock Transfer Company. The address for Pacific Stock Transfer is 6725 Via Austi Parkway, Suite 300, Las Vegas, Nevada 89119, and the telephone number is (800) 785-7782.</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that the debt securities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9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9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3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5" w:name="page26"/>
    <w:bookmarkEnd w:id="25"/>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9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3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21"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7" w:name="page28"/>
    <w:bookmarkEnd w:id="27"/>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the section entitled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3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the section entitled “</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8" w:name="page29"/>
    <w:bookmarkEnd w:id="2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5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9" w:name="page30"/>
    <w:bookmarkEnd w:id="2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85"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4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interest on any debt securities on any interest payment date to the person in whose name the debt securities, or one or more predecessor securities, are registered at the close of business on the regular record date for the interest.</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our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2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3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3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w:t>
      </w:r>
      <w:r>
        <w:rPr>
          <w:rFonts w:ascii="Times New Roman" w:cs="Times New Roman" w:eastAsia="Times New Roman" w:hAnsi="Times New Roman"/>
          <w:sz w:val="18"/>
          <w:szCs w:val="18"/>
          <w:i w:val="1"/>
          <w:iCs w:val="1"/>
          <w:color w:val="auto"/>
        </w:rPr>
        <w:t>—Special Situations When a Global Security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Terminated</w:t>
      </w:r>
      <w:r>
        <w:rPr>
          <w:rFonts w:ascii="Times New Roman" w:cs="Times New Roman" w:eastAsia="Times New Roman" w:hAnsi="Times New Roman"/>
          <w:sz w:val="18"/>
          <w:szCs w:val="18"/>
          <w:color w:val="auto"/>
        </w:rPr>
        <w:t>.” As a result of these arrangements, the depositary, or its nominee, will be the sole registered owner and legal holder of all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recognize an indirect holder as a holder of securities and instead deal only with the depositary that holds the global security.</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8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3" w:name="page34"/>
    <w:bookmarkEnd w:id="33"/>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a global security will terminate when the following special situations occur:</w:t>
      </w:r>
    </w:p>
    <w:p>
      <w:pPr>
        <w:spacing w:after="0" w:line="185"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through a “registered direct” offering, (3) through agents, or (4) through a combination of any of these methods or otherwise.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12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8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agents or other purchasers;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to purchase additional shares or other options under which underwriters, dealers, agents or other purchasers may purchase additional securities from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3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 They may then resell those securities to the public at varying prices determined by the dealers at the time of resale.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including through one or more “registered direct” offerings.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Capital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and the validity of the securities offered by this prospectus, and any supplement thereto, will be passed upon by Stradling Yocca Carlson &amp; Rauth LLP. Any underwriters or agents will be advised about other issues relating to the offering by counsel to be named in the applicable prospectus supplement.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Expion Energy, Inc., formerly known as Expion360, Inc., as of December 31, 2025 and 2024, and for each of the two years in the period ended December 31, 2025, incorporated by reference in this Prospectus, have been audited by M&amp;K CPAS, PLLC, an independent registered public accounting firm, as stated in their report. Such financial statements are incorporated by reference in reliance upon the report of such firm given their authority as experts in accounting and auditing.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including exhibits, under the Securities Act with respect to the securities offered by this prospectus and any applicable prospectus supplement. This prospectus and the applicable prospectus supplement, which constitutes part of the registration statement, does not contain all of the information in the registration statement and its exhibits. For further information with respect to Expion Energy and the securities offered by this prospectus and any applicable prospectus supplement, we refer you to the registration statement and its exhibits. Statements contained in this prospectus and any applicable prospectus supplement as to the contents of any contract or any other document referred to are not necessarily complete, and in each instance, we refer you to the copy of the contract or other document filed as an exhibit to the registration statement.</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these reports, proxy and information statements, and other information we file electronically with the SEC. Our filings are available free of charge at the SEC’s website at www.sec.gov. We also maintain a website at www.expion360.com,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much of the information we file with the SEC, which means that we can disclose important information to you by referring you to those publicly available documents. The information that we incorporate by reference into this prospectus is considered to be part of this prospectus. These documents may include Annual Reports on Form 10-K, Quarterly Reports on Form 10-Q and Current Reports on Form 8-K, as well as proxy statements and information statements. You should read the information incorporated by reference because it is an important part of this prospectus.</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other than those documents or the portions of those documents deemed to be furnished and not filed in accordance with SEC rules:</w:t>
      </w:r>
    </w:p>
    <w:p>
      <w:pPr>
        <w:spacing w:after="0" w:line="12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for the year ended December 31, 2025, as filed with the SEC on March 17, 2026;</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1">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(Amendment No. 1) for the year ended December 31, 2025, as filed with the SEC on April 30, 2026;</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periods ended March 31, 2026, and June 30, 2026, as filed with the SEC on </w:t>
      </w:r>
      <w:hyperlink r:id="rId52">
        <w:r>
          <w:rPr>
            <w:rFonts w:ascii="Times New Roman" w:cs="Times New Roman" w:eastAsia="Times New Roman" w:hAnsi="Times New Roman"/>
            <w:sz w:val="18"/>
            <w:szCs w:val="18"/>
            <w:u w:val="single" w:color="auto"/>
            <w:color w:val="0000EE"/>
          </w:rPr>
          <w:t>May 15,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August 10,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2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as filed with the SEC on </w:t>
      </w:r>
      <w:hyperlink r:id="rId54">
        <w:r>
          <w:rPr>
            <w:rFonts w:ascii="Times New Roman" w:cs="Times New Roman" w:eastAsia="Times New Roman" w:hAnsi="Times New Roman"/>
            <w:sz w:val="18"/>
            <w:szCs w:val="18"/>
            <w:u w:val="single" w:color="auto"/>
            <w:color w:val="0000EE"/>
          </w:rPr>
          <w:t>January 30, 2026</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July 7, 2026</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July 16, 2026</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August 4, 2026</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August 24, 2026</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August 31,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October 22,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34"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Capital Stock set forth in </w:t>
      </w:r>
      <w:hyperlink r:id="rId61">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2025, as filed with the SEC on March 17, 2026.</w:t>
      </w:r>
    </w:p>
    <w:p>
      <w:pPr>
        <w:spacing w:after="0" w:line="121" w:lineRule="exact"/>
        <w:rPr>
          <w:rFonts w:ascii="Times New Roman" w:cs="Times New Roman" w:eastAsia="Times New Roman" w:hAnsi="Times New Roman"/>
          <w:sz w:val="18"/>
          <w:szCs w:val="18"/>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after the date of this prospectus supplement but prior to the termination of this offering,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84"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obtain copies of the documents incorporated by reference in this prospectus from us free of charge by requesting them in writing or by telephone at the following address: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Robert Winspear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Expion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Redmond, Oregon 97756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(541) 797-6714</w:t>
      </w:r>
    </w:p>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423545</wp:posOffset>
            </wp:positionV>
            <wp:extent cx="5983605" cy="3360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98360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$50,000,000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23, 2026</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60" w:type="dxa"/>
            <w:vAlign w:val="bottom"/>
          </w:tcPr>
          <w:p>
            <w:pPr>
              <w:spacing w:after="0"/>
              <w:rPr>
                <w:sz w:val="18"/>
                <w:szCs w:val="18"/>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0</wp:posOffset>
            </wp:positionV>
            <wp:extent cx="5983605" cy="3360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598360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Up to $1,666,183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an at-the-market issuance sales agreement, dated October 23, 2026 (the “Sales Agreement”), with H.C. Wainwright &amp; Co., LLC (“Agent”) relating to the issuance and sale of our common stock, par value $0.001 per share, offered by this prospectus supplement and the accompanying base prospectus. In accordance with the terms of the Sales Agreement, we may offer and sell shares of our common stock under this prospectus supplement and the accompanying base prospectus having an aggregate offering price of up to $1,666,183 from time to time through Agent acting as our sales agent or principal.</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“XPON.” On October 22, 2026, the last reported sale price of our common stock on Nasdaq was $3.92 per share.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may be made in sales deemed to be “at the market offerings” as defined in Rule 415(a)(4) promulgated under the Securities Act of 1933, as amended (the “Securities Act”), including sales made directly on or through Nasdaq, the existing trading market for our common stock, or any other existing trading market in the United States for our common stock, sales made to or through a market maker other than on an exchange or otherwise, directly to the Agent as principal, in negotiated transactions at market prices prevailing at the time of sale or at prices related to such prevailing market prices, and/or in any other method permitted by law. Agent is not required to sell any specific number or dollar amount of securities, but will act as a sales agent using commercially reasonable efforts consistent with its normal trading and sales practices, on mutually agreed terms between Agent and us. There is no arrangement for funds to be received in escrow, trust, or similar arrangement. We will bear all costs associated with the offering.</w:t>
      </w:r>
    </w:p>
    <w:p>
      <w:pPr>
        <w:spacing w:after="0" w:line="1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Agent will be entitled to compensation at a fixed commission rate of 3.0% of the gross proceeds of any shares of common stock sold under the Sales Agreement. In connection with the sale of our common stock on our behalf, Agent will be deemed to be an “underwriter” within the meaning of the Securities Act and the compensation of Agent will be deemed to be underwriting commissions or discounts. We have also agreed to provide indemnification and contribution to Agent with respect to certain liabilities, including certain liabilities under the Securities Act or the Securities Exchange Act of 1934, as amended (the “Exchange Act”). See “Plan of Distribution” beginning on page S-8 of this prospectus supplement for more information regarding these arrangements.</w:t>
      </w:r>
    </w:p>
    <w:p>
      <w:pPr>
        <w:spacing w:after="0" w:line="1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October 22, 2026, the aggregate market value of our outstanding common stock held by non-affiliates, or our public float, was approximately $8,963,061. This value was computed by reference to the highest closing price of our common stock on Nasdaq within the preceding 60 days ($9.17 per share on August 26, 2026) multiplied by 977,433 shares held by non-affiliates. Pursuant to General Instruction I.B.6 of Form S-3, in no event will we sell securities in a public primary offering with a value exceeding one-third of our public float in any 12-month period so long as our public float remains below $75.0 million (the “Baby Shelf Limitation”). During the 12 calendar months prior to and including the date of this prospectus supplement (excluding this offering), we have sold approximately $1,321,503 in securities pursuant to General Instruction I.B.6 of Form S-3.</w:t>
      </w:r>
    </w:p>
    <w:p>
      <w:pPr>
        <w:sectPr>
          <w:pgSz w:w="11900" w:h="16847" w:orient="portrait"/>
          <w:cols w:equalWidth="0" w:num="1">
            <w:col w:w="11240"/>
          </w:cols>
          <w:pgMar w:left="320" w:top="1049" w:right="339" w:bottom="0" w:gutter="0" w:footer="0" w:header="0"/>
        </w:sectPr>
      </w:pPr>
    </w:p>
    <w:bookmarkStart w:id="40" w:name="page41"/>
    <w:bookmarkEnd w:id="40"/>
    <w:p>
      <w:pPr>
        <w:jc w:val="both"/>
        <w:spacing w:after="0" w:line="25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under applicable Securities and Exchange Commission (“SEC”) rules, we have elected to take advantage of certain reduced public company reporting requirements for this prospectus and future filings.</w:t>
      </w:r>
    </w:p>
    <w:p>
      <w:pPr>
        <w:spacing w:after="0" w:line="14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Refer to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S-5 of this prospectus supplement and beginning on page 8 of the accompanying base prospectus for a discussion of information that should be considered in connection with an investment in our common stock.</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the SEC nor any state securities commission has approved or disapproved of the shares or determined if this prospectus is truthful or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w:t>
            </w:r>
          </w:p>
        </w:tc>
        <w:tc>
          <w:tcPr>
            <w:tcW w:w="4260" w:type="dxa"/>
            <w:vAlign w:val="bottom"/>
          </w:tcPr>
          <w:p>
            <w:pPr>
              <w:jc w:val="right"/>
              <w:ind w:right="325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358"/>
        </w:trPr>
        <w:tc>
          <w:tcPr>
            <w:tcW w:w="69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r>
      <w:tr>
        <w:trPr>
          <w:trHeight w:val="432"/>
        </w:trPr>
        <w:tc>
          <w:tcPr>
            <w:tcW w:w="1058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r>
      <w:tr>
        <w:trPr>
          <w:trHeight w:val="216"/>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S-4</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S-5</w:t>
            </w:r>
          </w:p>
        </w:tc>
      </w:tr>
      <w:tr>
        <w:trPr>
          <w:trHeight w:val="216"/>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S-7</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r>
      <w:tr>
        <w:trPr>
          <w:trHeight w:val="216"/>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S-9</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216"/>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UNITED STATES FEDERAL INCOME TAX CONSIDERATIONS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S-13</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S-18</w:t>
            </w:r>
          </w:p>
        </w:tc>
      </w:tr>
      <w:tr>
        <w:trPr>
          <w:trHeight w:val="216"/>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S-18</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S-18</w:t>
            </w:r>
          </w:p>
        </w:tc>
      </w:tr>
      <w:tr>
        <w:trPr>
          <w:trHeight w:val="216"/>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S-19</w:t>
            </w:r>
          </w:p>
        </w:tc>
      </w:tr>
      <w:tr>
        <w:trPr>
          <w:trHeight w:val="216"/>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NOT REQUIRED IN PROSPECTUS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r>
      <w:tr>
        <w:trPr>
          <w:trHeight w:val="216"/>
        </w:trPr>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II-8</w:t>
            </w:r>
          </w:p>
        </w:tc>
      </w:tr>
      <w:tr>
        <w:trPr>
          <w:trHeight w:val="234"/>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II-8</w:t>
            </w:r>
          </w:p>
        </w:tc>
      </w:tr>
      <w:tr>
        <w:trPr>
          <w:trHeight w:val="198"/>
        </w:trPr>
        <w:tc>
          <w:tcPr>
            <w:tcW w:w="105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433"/>
        </w:trPr>
        <w:tc>
          <w:tcPr>
            <w:tcW w:w="10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that we filed with the SEC utilizing a “shelf” registration process. Under this shelf registration process, we are offering the securities described in this prospectus supplement.</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offering and also adds to and updates information contained in the accompanying base prospectus and the documents incorporated by reference herein and therein. The second part, the accompanying base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base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base prospectus—the statement in the document having the later date modifies or supersedes the earlier statement.</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the information incorporated by reference herein. We have not authorized anyone to provide you with information that is different. The information contained in this prospectus, or incorporated by reference herein, is accurate only as of the respective dates thereof, regardless of the time of delivery of this prospectus or of any issuance of our shares. It is important that you read and consider all information contained in this prospectus, including the documents incorporated by reference herein, in making your investment decision. You should also read and consider the information in the documents to which we have referred you in the sections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in this prospectus supplement.</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offering the securities offered by this prospectus only in jurisdictions where offers are permitted. The distribution of this prospectus and the offering of our securities in certain jurisdictions may be restricted by law. Persons outside the United States who come into possession of this prospectus must inform themselves about, and observe any restrictions relating to, the offering of our securities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to the “Company,” “we,” “us,” “our” and “Expion Energy” refer to Expion Energy, Inc., a Nevada corporation.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prospectus supplement summary highlights selected information included elsewhere in the prospectus and does not contain all of the information you should consider before buying our securities. You should read the entire prospectus carefully, including the section entitled “Risk Factors” and the financial statements and related notes incorporated by reference into this prospectus, before deciding to invest in our securities. Some of the statements in this prospectus supplement constitute forward-looking statements. For additional information, refer to the section of this prospectus supplement entitled “Cautionary Note Regarding Forward-Looking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Lithium Battery Business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Expion Energy, formerly known as Expion360 Inc., focuses on the design, assembly, manufacturing, and sale of lithium iron phosphate (“LiFePO4”) batteries and supporting accessories for recreational vehicles (“RVs”), marine applications, and industrial energy storage products. Our high-powered lithium battery solutions incorporate innovative concepts and have been designed to include some of the most dense and minimal-footprint batteries in the RV and marine industries. We deploy intellectual property strategies to support product development, enhance safety and performance, and strengthen relationships across our target markets. This includes design, development, and collaboration, using our IP to bring safety, quality, and service to our customers. Our customers consist of dealers, wholesalers, private-label customers, and original equipment manufacturers (“OEMs”) who then sell our products to end consumers and drive brand awareness nationally.</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target markets include the RV, marine, industrial, and commercial energy storage industries. Within the industrial sector, we participate in applications such as electric material handling and forklift equipment, where lithium battery adoption continues to increase as an alternative to traditional lead-acid systems. We believe the broader transition from lead-acid to lithium batteries presents growth opportunities across these markets.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current focus areas, we are evaluating opportunities to expand further into industrial and mission-critical commercial applications that require integrated battery energy storage solutions. These may include mobile and stationary systems supporting remote operations, security infrastructure, and other environments that require a high degree of reliability. While we continue to assess these industrial and adjacent markets, our current commercial activities remain concentrated in our established RV, marine, and industrial segments.</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battery products provide numerous advantages for various industries that are looking to migrate to lithium-based energy storage. They incorporate detailed design and engineering, strong case materials, optimized internal structural layouts, and are supported by responsive customer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Gas Opportunity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entering the oil and gas sector to capture rising demand driven by power generation needs, industrial growth, and long-term expansion of LNG markets. We will target opportunistic growth through selective acquisitions and development projects that provide scale, enhance value, and support sustained stockholder value.</w:t>
      </w:r>
    </w:p>
    <w:p>
      <w:pPr>
        <w:spacing w:after="0" w:line="1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21, 2026, we entered into a membership interest purchase agreement (the “Membership Interest Purchase Agreement”) pursuant to which we acquired all of the issued and outstanding membership interests of the target company (the “Target”). The Target owns and controls assets related to an oil and gas exploration opportunity (the “Prospect”) encompassing an area of mutual interest in Eastern Louisiana targeting multiple stacked benches within a specific gas reservoir (the “AMI”). The Target’s assets include an existing oil and gas leasehold of approximately 3,000 net acres within the AMI, a wellbore (the “Well”), mineral title research covering approximately 13,000 net acres, and intellectual property developed in connection with the Prospect.</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execution of the Membership Interest Purchase Agreement, we entered into an exploration agreement (the “Exploration Agreement”) with the Target. The Exploration Agreement addresses: (i) existing leases for the approximately 3,000 net acres the Target already owns, (ii) leases for acreage within the AMI that was previously leased, and (iii) new leases intended to be acquired within the AMI representing the expansion of the acreage footprint.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5" w:name="page46"/>
    <w:bookmarkEnd w:id="4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terms of the Exploration Agreement, we are required to use commercially reasonable efforts to initiate a mandatory well operation consisting of directional drilling of a new lateral wellbore out of the Well, with a total measured lateral length of no less than 4,000 feet, to a mutually agreed bottom-hole location and true vertical depth (the “Mandatory Well Operation”). The Exploration Agreement contemplates that the Mandatory Well Operation will occur no later than February 15, 2027, subject to customary exceptions.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21, 2026, we entered into the Purchase Agreement providing for the issuance and sale of: (i) Convertible Debentures, in an aggregate principal amount of $9,000,000, which, upon obtaining stockholder approval, will initially be convertible into up to 2,117,219 shares of common stock based on an initial conversion price of $4.25 per share, and (ii) the August 2026 Warrants to purchase up to 2,117,219 shares of common stock at an exercise price of $4.25 per share (the “Private Placement”). Five Narrow Lane, LP (“FNL”) was the lead purchaser in the Private Placement. Our former Chief Executive Officer and Chairman of the Board, Joseph Hammer, serves as a managing member of the general partner of FNL and may be deemed to share voting and dispositive power over the shares of common stock issuable upon conversion of the Convertible Debentures and the AIR Convertible Debentures, and upon exercise of the August 2026 Warrants. Pursuant to the Purchase Agreement, the purchasers in the Private Placement may also elect to purchase the AIR Convertible Debentures with an aggregate stated value of up to $91,000,000 at any time during the 18-month period following the Effective Date, as that term is defined in the Purchase Agreement.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were initially organized as a limited liability company under the name “Yozamp Products Company, LLC” in the State of Oregon on June 16, 2016, and converted to a Nevada corporation under its current name pursuant to articles of conversion dated as of November 16, 2021.</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recently changed our corporate name from “Expion360 Inc.” to “Expion Energy, Inc.” to better align with our expanded energy platform and broadened operating strategy.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2025 SW Deerhound Avenue, Redmond, Oregon 97756 and our phone number is (541) 797-6714.</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website is www.expion360.com. The information contained on, or that can be accessed through, our website is not a part of this prospectus or the registration statement of which it forms a part. The inclusion of our website address in this prospectus is an inactive textual reference only. Investors should not rely on any such information in deciding whether to purchase our Common Stock.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base prospectus, and the documents incorporated by reference herein and therein, contain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prospectus, other than statements of historical fact, are forward-looking statements. You can identify forward-looking statements by the use of words such as “anticipate,” “believe,” “continue” “could,” “expect,” “intend,” “may,” “will,” or the negative of such terms, or other comparable terminology. Forward-looking statements also include the assumptions underlying or relating to such statements. In particular, forward-looking statements included or incorporated by reference in this prospectus relate to, among other things, our future or assumed financial condition, results of operations, liquidity, business forecasts and plans, strategic plans and objectives, and competitive environment. We caution you that the foregoing list may not include all of the forward-looking statements made in this prospectus.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S-5 of this prospectus supplement, beginning on page 8 of the accompanying base prospectus, as well as in the other reports we file with the SEC. You should read this prospectus with the understanding that our actual future results may be materially different from and worse than what we expect.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except to the extent required by law or the Nasdaq listing rules, we undertake no obligation to update or review any forward-looking statement because of new information, future events or other factors.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w:t>
      </w:r>
    </w:p>
    <w:p>
      <w:pPr>
        <w:spacing w:after="0" w:line="1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Before deciding whether to invest in our common stock, you should consider carefully the risks described below, as well as the risk factors contained in our most recent Annual Report on Form 10-K and Quarterly Reports on Form 10-Q, together with the other information contained in this prospectus supplement, in the accompanying base prospectus, and in the information and documents incorporated by reference herein and therein. If any of these risks actually occurs, our business, financial condition, results of operations and liquidity could be materially adversely impacted. This could cause the trading price of our common stock to decline, resulting in a loss of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the offering and may not use them effectively.</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improve our results of operations or enhance the value of our common stock. We currently intend to use the net proceeds for working capital and general corporate purposes. The failure by our management to apply these funds effectively could result in financial losses, and these financial losses could have a material adverse effect on our business, cause the price of our common stock to decline and delay the development of our products. We may invest the net proceeds from the offering, pending their use, in a manner that does not produce income or that loses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dilution of your investment.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shares of common stock sold in this offering, if any, will be sold from time to time at various prices. However, the offering price of our common stock may be substantially higher than the net tangible book value per common share. Therefore, if you purchase shares of our common stock in this offering, you may pay a price per share that substantially exceeds our net tangible book value per share after this offering. After giving effect to the sale of our common stock in the aggregate amount of $1,666,183 at an assumed offering price of $3.92 per share, the last reported sale price of shares of our common stock on The Nasdaq Capital Market on October 22, 2026, after deducting commissions and estimated aggregate offering expenses payable by us, you will experience immediate dilution of $1.23 per share, representing the difference between our as adjusted net tangible book value per share as of June 30, 2026 after giving effect to this offering and the assumed offering price of $3.92 per share. See “Dilution” in this prospectus supplement for a more detailed illustration of the dilution you would incur if you participate in this offering.</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may experience future dilution as a result of future equity offerings or other equity issuances.</w:t>
      </w:r>
    </w:p>
    <w:p>
      <w:pPr>
        <w:spacing w:after="0" w:line="11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be required to raise additional capital in the future to fund the growth and operation of our business. In order to raise additional capital, we may in the future offer additional shares of our common stock or other securities convertible into or exchangeable for our common stock at prices that may not be the same as the price per share as prior issuances of common stock. We may not be able to sell shares of our common stock or other securities in any other offering at a price per share that is equal to or greater than the price per share previously paid by investors, and investors purchasing shares or other securities in the future could have rights superior to existing stockholders. The price per share at which we sell additional shares of our common stock or securities convertible into common stock in future transactions may be higher or lower than the prices per share previously paid. You will incur dilution upon exercise of any outstanding stock options, warrants or upon the issuance of shares of common stock under our stock incentive programs. In addition, the issuance of shares of common stock in this offering, and any future sales of a substantial number of shares of our common stock in the public market, or the perception that such sales may occur, could adversely affect the price of our common stock. We cannot predict the effect, if any, that market sales of such shares of common stock or the availability of such shares for sale will have on the market price of our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declared dividends on our common stock and have no intention to declare dividends in the foreseeable future.</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do not anticipate that we will pay any dividends to holders of our common stock in the foreseeable future. We intend to use any excess cash for the development, operation and expansion of our business. The decision to pay cash dividends on our common stock rests with our board of directors and will depend on a number of factors, including our financial condition, results of operations and capital requirements.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This offering may cause the trading price of our shares of common stock to decrease.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price per share, together with the number of shares of common stock we may issue and sell in this offering, may result in an immediate decrease in the market price of our shares. This decrease may continue after the completion of this offering.</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 the public market might result in significant dilution and could cause the price of our common stock to fall.</w:t>
      </w:r>
    </w:p>
    <w:p>
      <w:pPr>
        <w:spacing w:after="0" w:line="11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October 22, 2026, we had 1,012,498 shares of common stock outstanding, all of which shares were, and continue to be, eligible for sale in the public market, subject in some cases to compliance with the requirements of Rule 144, including the volume limitations and manner of sale requirements. In addition, all of the shares of common stock offered under this prospectus will be freely tradable without restriction or further registration upon issuance.</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our common stock we will sell under the Sales Agreement, or the gross proceeds resulting from those sales.</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 at any time throughout the term of the Sales Agreement. The number of shares of our common stock that are sold through the Sales Agent after delivering a placement notice will fluctuate based on a number of factors, including the market price of our common stock during the sales period, the limits we set with the Sales Agent in any applicable placement notice, and the demand for our common stock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may be sold in “at the market” offerings or in privately negotiated transactions, and investors who buy shares at different times will likely pay different prices.</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as a result, may experience different levels of dilution and different outcomes in their investment results. We will have discretion, subject to market demand, to vary the timing, prices, and numbers of shares sold in this offering. In addition, subject to the final determination by our board of directors,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do not anticipate that we will pay any dividends to holders of our Common Stock in the foreseeable future. Instead, we currently plan to retain any earnings to finance the growth of our business. Any future determination relating to dividend policy will be made at the discretion of our board of directors and will depend on our financial condition, results of operations, and capital requirements, as well as other factors deemed relevant by our board of directors.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and sell our common stock having aggregate gross proceeds of up to $1,666,183 from time to time. Because there is no minimum offering amount required as a condition of this offering, the actual total public offering amount, commissions and proceeds to us, if any, are not determinable at this time. We estimate that the aggregate net proceeds from the sale of our common stock that we are offering may be up to approximately $1.46 million, after deducting Agent’s commissions and estimated offering expenses payable by us.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working capital and other general corporate purposes, including the funding of our capital commitments pursuant to the Exploration Agreement. We may also use a portion of the net proceeds to invest in or acquire assets, businesses or technologies that we believe are complementary to our own, although we have no current plans, commitments or agreements with respect to any acquisitions as of the date of this prospectus.</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expected use of net proceeds from this offering represents our intentions based upon our current plans and business conditions, which could change in the future as our plans and business conditions evolve. We cannot currently allocate specific percentages of the net proceeds to us from this offering that we may use for the purposes specified above. Our management will have broad discretion in the application of the net proceeds from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result in our being profitable or that increases our market value.</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if any, from this offering, we intend to invest the net proceeds in a variety of capital preservation investments, including short-term, investment-grade, interest-bearing instruments and U.S. government securities.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this offering.</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tangible book value per share of our common stock is determined by subtracting our total liabilities from the amount of our total tangible assets (total assets less intangible assets) and then dividing the difference by the number of shares of our common stock deemed to be outstanding at that date. As of June 30, 2026, we had a net tangible book value of approximately $4.8 million, or $5.05 per share of common stock.</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Dilution per share represents the difference between the assumed public offering price per share of our common stock and the as adjusted net tangible book value per share of our common stock included in this offering after giving effect to this offering. Any sale of our common stock in this offering at a price per share greater than the net tangible book value per share will result in (after giving effect to commission and estimated offering expenses payable by us) an increase in our net tangible book value per share of common stock with respect to our existing stockholders and an immediate dilution in net tangible book value per share of common stock to investors in this offering.</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giving effect to the sale and issuance by us of our common stock in an amount equal to $1,666,183 at an assumed price of $3.92 per share, the last reported sale price of our common stock on the Nasdaq Capital Market on October 22, 2026, and after deducting estimated placement agent fees and commissions to Agent and estimated offering expenses payable by us, our as adjusted net tangible book value as of June 30, 2026, would have been approximately $7.1 million, or approximately $5.15 per share.</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amount represents an immediate decrease in net tangible book value of $0.76 per share to our existing stockholders and immediate dilution in net tangible book value of $1.23 per share to new investors purchasing shares in this offering. We determine dilution by subtracting the as adjusted net tangible book value per share after giving effect to this offering from the assumed public offering price per share paid by an investor in this offering.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4460" w:type="dxa"/>
            <w:vAlign w:val="bottom"/>
          </w:tcPr>
          <w:p>
            <w:pPr>
              <w:spacing w:after="0"/>
              <w:rPr>
                <w:sz w:val="20"/>
                <w:szCs w:val="20"/>
                <w:color w:val="auto"/>
              </w:rPr>
            </w:pPr>
          </w:p>
        </w:tc>
      </w:tr>
      <w:tr>
        <w:trPr>
          <w:trHeight w:val="189"/>
        </w:trPr>
        <w:tc>
          <w:tcPr>
            <w:tcW w:w="6780" w:type="dxa"/>
            <w:vAlign w:val="bottom"/>
          </w:tcPr>
          <w:p>
            <w:pPr>
              <w:spacing w:after="0"/>
              <w:rPr>
                <w:sz w:val="16"/>
                <w:szCs w:val="16"/>
                <w:color w:val="auto"/>
              </w:rPr>
            </w:pPr>
          </w:p>
        </w:tc>
        <w:tc>
          <w:tcPr>
            <w:tcW w:w="4460" w:type="dxa"/>
            <w:vAlign w:val="bottom"/>
          </w:tcPr>
          <w:p>
            <w:pPr>
              <w:spacing w:after="0"/>
              <w:rPr>
                <w:sz w:val="16"/>
                <w:szCs w:val="16"/>
                <w:color w:val="auto"/>
              </w:rPr>
            </w:pPr>
          </w:p>
        </w:tc>
      </w:tr>
      <w:tr>
        <w:trPr>
          <w:trHeight w:val="216"/>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Offering price per share</w:t>
            </w:r>
          </w:p>
        </w:tc>
        <w:tc>
          <w:tcPr>
            <w:tcW w:w="446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$ 3.92</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tangible book value per share as of June 30, 2026</w:t>
            </w:r>
          </w:p>
        </w:tc>
        <w:tc>
          <w:tcPr>
            <w:tcW w:w="4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$ 5.91</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this offering</w:t>
            </w:r>
          </w:p>
        </w:tc>
        <w:tc>
          <w:tcPr>
            <w:tcW w:w="4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(0.76)</w:t>
            </w:r>
          </w:p>
        </w:tc>
      </w:tr>
      <w:tr>
        <w:trPr>
          <w:trHeight w:val="216"/>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44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$ 5.15</w:t>
            </w:r>
          </w:p>
        </w:tc>
      </w:tr>
      <w:tr>
        <w:trPr>
          <w:trHeight w:val="216"/>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Dilution per share to investors purchasing shares in this offering</w:t>
            </w:r>
          </w:p>
        </w:tc>
        <w:tc>
          <w:tcPr>
            <w:tcW w:w="446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 (1.23)</w:t>
            </w:r>
          </w:p>
        </w:tc>
      </w:tr>
      <w:tr>
        <w:trPr>
          <w:trHeight w:val="412"/>
        </w:trPr>
        <w:tc>
          <w:tcPr>
            <w:tcW w:w="678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S-8</w:t>
            </w: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49" w:right="339" w:bottom="1440" w:gutter="0" w:footer="0" w:header="0"/>
        </w:sectPr>
      </w:pPr>
    </w:p>
    <w:bookmarkStart w:id="51" w:name="page52"/>
    <w:bookmarkEnd w:id="51"/>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immediately after this offering is based on 953,192 shares outstanding as of June 30, 2026, and excludes as of that date:</w:t>
      </w:r>
    </w:p>
    <w:p>
      <w:pPr>
        <w:spacing w:after="0" w:line="13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 shares of common stock issuable upon the exercise of the November 2021 Warrants at an exercise price of $3,984 per share;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shares of common stock issuable upon the exercise of the Underwriter Warrants at an exercise price of $10,920 per share;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shares of common stock issuable upon the exercise of the Underwriter Warrants at an exercise price of $5,400 per share;</w:t>
      </w:r>
    </w:p>
    <w:p>
      <w:pPr>
        <w:spacing w:after="0" w:line="19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75,172 shares of common stock issuable upon the exercise of Series A Warrants to purchase common stock outstanding at an exercise price of $15.72 per share;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shares of common stock issuable upon the exercise of Series B Warrants to purchase common stock outstanding at an exercise price of $1.20 per share;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37,433 shares of common stock issuable upon the exercise of the January 2025 Warrants at an exercise price of $15.72 per share;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2,912 shares of common stock issuable upon the exercise of the October 2025 Warrants at an exercise price of $0.012 per share;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2,117,219 shares of common stock issuable upon the exercise of the August 2026 Warrants;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2,117,219 shares of common stock issuable upon conversion of the Convertible Debentures, subject to the approval by our stockholders of the issuance of shares in excess of the Exchange Cap;</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17,858 shares of common stock issuable upon the exercise of options granted and outstanding under our 2021 Incentive Award Plan;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3,333 shares of common stock issuable upon the settlement of restricted stock units granted and outstanding under our 2021 Incentive Award Plan;</w:t>
      </w:r>
    </w:p>
    <w:p>
      <w:pPr>
        <w:spacing w:after="0" w:line="19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51,818 shares of common stock available for future issuance under our 2021 Employee Stock Purchase Plan;</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shares of common stock available for future issuance under our 2021 Incentive Award Plan and 2021 Employee Stock Purchase Plan, as a result of the application of the evergreen provisions set forth in those plans or stockholder approval of an increase in the number of shares available for issuance;</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shares of common stock issued upon the conversion of the AIR Convertible Debentures issued upon the exercise of the Additional Investment Right granted to the purchasers pursuant to the Purchase Agreement, subject to the approval by our stockholders of the issuance of shares in excess of the Exchange Cap; and</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shares of common stock we have issued or may issue from time to time after June 30, 2026.</w:t>
      </w:r>
    </w:p>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outstanding options or warrants, and no conversion of convertible notes.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outstanding convertible notes are converted, options or warrants are exercised, or restricted stock awards are settled, you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the Sales Agreement with Agent under which we may issue and sell common stock from time to time through or to Agent, acting as sales agent or principal. Sales of our common stock, if any, under this prospectus supplement will be made at market prices by any method deemed to be an “at the market offering” as defined in Rule 415(a)(4) under the Securities Act, ”), including sales made directly on or through Nasdaq, the existing trading market for our common stock, or any other existing trading market in the United States for our common stock, sales made to or through a market maker other than on an exchange or otherwise, directly to the Agent as principal, in negotiated transactions at market prices prevailing at the time of sale or at prices related to such prevailing market prices, and/or in any other method permitted by law.</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time that we wish to issue and sell our common stock under the Sales Agreement, we will provide Agent with a placement notice describing the amount of common stock to be sold, the time period during which sales are requested to be made, any limitation on the amount of common stock that may be sold in any single day, any minimum price below which sales may not be made or any minimum price requested for sales in a given time period and any other instructions relevant to such requested sales. Upon receipt of a placement notice, Agent, acting as our sales agent, will use commercially reasonable efforts, consistent with its normal trading and sales practices and applicable state and federal laws, rules and regulations and the rules of Nasdaq, to sell our common stock under the terms and subject to the conditions of the placement notice and the Sales Agreement. We or Agent may suspend the offering of common stock pursuant to a placement notice upon notice and subject to other conditions.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the parties agree otherwise, settlement for sales of common stock will occur on the first trading day following the date on which any sales are made (or any such shorter settlement cycle as may be in effect under Exchange Act Rule 15c6-1 from time to time) in return for payment of the net proceeds to us. There are no arrangements to place any of the proceeds of this offering in an escrow, trust or similar account. Sales of our common stock as contemplated in this prospectus supplement will be settled through the facilities of The Depository Trust Company or by such other means as we and Agent may agree upon.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to pay Agent a fixed commission rate of 3.0% of the gross proceeds of any shares of common stock sold under the Sales Agreement.</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also agreed to reimburse Agent for certain of its out-of-pocket expenses, including, (a) up to $50,000 in legal fees in connection with the Sales Agreement, and (b) for so long as this offering is ongoing, the reasonable documented legal fees incurred by Agent in connection with updating due diligence in connection with the offering not to exceed $3,500 following each filing of a Quarterly Report on Form 10-Q and each filing of an Annual Report on Form 10-K and each filing of a prospectus supplement.</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fees and expenses referred to above, will be approximately $160,000. We will pay all of our expenses in connection with the registration, offering, and issuance of the shares of our common stock pursuant to the Sales Agreement.</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Because there are no minimum sale requirements as a condition to this offering, the actual total public offering price, commissions and net proceeds to us, if any, are not determinable at this time. The actual dollar amount and number of shares of common stock we sell through this prospectus supplement will be dependent, among other things, on market conditions and our capital raising requirements.</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offering of shares of our common stock pursuant to the Sales Agreement will terminate upon the earlier of (a) the sale of all shares subject to the Sales Agreement, or (b) termination of the Sales Agreement pursuant to its terms.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common stock on our behalf, Agent will be deemed to be an “underwriter” within the meaning of the Securities Act, and the compensation of Agent will be deemed to be underwriting commissions or discounts.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Agent will not engage in any market making activities involving our common stock while the offering is ongoing under this prospectus supplement.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symbol “XPON.” On October 22, 2026, the last reported sale price of our common stock on Nasdaq was $3.92 per share.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Agent against certain civil liabilities arising out of or relating to the sale and issuance of shares of our common stock pursuant to the Sales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Agent and certain of its affiliates have, from time to time, performed, and may in the future perform, various commercial and investment banking and financial advisory services for us and our affiliates, for which they received or will receive customary fees and expenses. However, except as disclosed in this prospectus supplement, we have no present arrangements with Agent for any further services.</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Agent or its affiliates have a lending relationship with us, they routinely hedge their credit exposure to us consistent with their customary risk management policies. Agent and its affiliates may hedge such exposure by entering into transactions that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of the acquisition, ownership and disposition of shares of common stock acquired in this offering. This discussion is based on the current provisions of the Internal Revenue Code of 1986, as amended (the “Code”), existing and proposed U.S. Treasury regulations promulgated thereunder, and administrative rulings and court decisions in effect as of the date hereof, all of which are subject to change at any time, possibly with retroactive effect. No ruling has been or will be sought from the Internal Revenue Service (the “IRS”) with respect to the matters discussed below, and there can be no assurance the IRS will not take a contrary position regarding the tax consequences of the acquisition, ownership or disposition of common stock, or that any such contrary position would not be sustained by a court. Except as provided herein, this summary does not discuss the potential effects, whether adverse or beneficial, of any proposed legislation that, if enacted, could be applied on a retroactive or prospective basis.</w:t>
      </w:r>
    </w:p>
    <w:p>
      <w:pPr>
        <w:spacing w:after="0" w:line="16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assume in this discussion that the shares of common stock will be held as capital assets (generally, property held for investment). This discussion does not address all aspects of U.S. federal income taxes, does not discuss the potential application of the Medicare contribution tax or the alternative minimum tax and does not address state or local taxes or U.S. federal gift and estate tax laws, except as specifically provided below with respect to Non-U.S. Holders (as defined below), or any non-U.S. tax consequences that may be relevant to holders in light of their particular circumstances. In addition, except as specifically set forth below, this summary does not discuss applicable tax reporting requirements. This discussion also does not address the special tax rules applicable to particular holders, such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who acquired our common stock as compensation for services;</w:t>
      </w:r>
    </w:p>
    <w:p>
      <w:pPr>
        <w:spacing w:after="0" w:line="16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common stock (except to the extent specifically set forth below);</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 (except to the extent specifically set forth below);</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for whom our common stock constitutes “qualified small business stock” within the meaning of Section 1202 of the Code or “Section 1244 stock” for purposes of Section 1244 of the Code;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4" w:name="page55"/>
    <w:bookmarkEnd w:id="54"/>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tax-qualified retirement plans;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(and stockholders thereof);</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treated as partnerships for U.S. federal income tax purposes (and partners or other owners thereof);</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organized outside the United States, any state thereof, or the District of Columbia that are nonetheless treated as U.S. persons for U.S. federal income tax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common stock as part of a straddle, hedge, conversion transaction, synthetic security or other integrated investment;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corporations that accumulate earnings to avoid U.S. federal income tax;</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are subject to taxing jurisdictions other than, or in addition to, the United States with respect to the common stock;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former citizens, or long-term residents of the United States.</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(including any entity or arrangement classified as a partnership for U.S. federal income tax purposes) or other pass-through entities or persons who hold shares of common stock through such partnerships or other entities which are pass-through entities for U.S. federal income tax purposes. If such a partnership or other pass-through entity holds shares of common stock, the treatment of a partner in such partnership or investor in such other pass-through entity generally will depend on the status of the partner or investor and upon the activities of the partnership or other pass-through entity. A partner in such a partnership and an investor in such other pass-through entity that will hold shares of common stock should consult his, her or its own tax advisor regarding the tax consequences of the ownership and disposition of shares of common stock through such partnership or other pass-through entity, as applicable.</w:t>
      </w:r>
    </w:p>
    <w:p>
      <w:pPr>
        <w:spacing w:after="0" w:line="14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This discussion of U.S. federal income tax considerations is for general information purposes only and is not tax advice. Prospective investors should consult their own tax advisors regarding the U.S. federal, state, local and non-U.S. income and other tax considerations of acquiring, holding and disposing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Applicable to U.S. 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 Defined</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purposes of this discussion, a “U.S. Holder” means a beneficial owner of shares of common stock acquired in this offering that is for U.S. federal income tax purposes (a) an individual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has the authority to control all substantial decisions of the trust or (2) has a valid election in effect under applicable U.S. Treasury regulations to be treated as a domestic trust. A “Non-U.S. Holder” is, for U.S. federal income tax purposes, a beneficial owner of shares of common stock that is not a U.S. Holder or a partnership for U.S. federal income tax purposes.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that we make distributions on our common stock to a U.S. Holder, those distributions generally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U.S. Holder’s adjusted tax basis in our common stock. Any remaining excess will be treated as gain realized on the sale or exchange of shares of Common Stock as described below under the section titled “</w:t>
      </w:r>
      <w:r>
        <w:rPr>
          <w:rFonts w:ascii="Times New Roman" w:cs="Times New Roman" w:eastAsia="Times New Roman" w:hAnsi="Times New Roman"/>
          <w:sz w:val="18"/>
          <w:szCs w:val="18"/>
          <w:i w:val="1"/>
          <w:iCs w:val="1"/>
          <w:color w:val="auto"/>
        </w:rPr>
        <w:t>Disposition of Common Stock</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Reporting</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distributions (including constructive distributions) on the Common Stock and Pre-Funded Warrants and to the proceeds of a sale or other disposition of Common Stock and Pre-Funded Warrants paid by us to a U.S. Holder unless such U.S. Holder is an exempt recipient, such as a corporation. Backup withholding will apply to those payments if the U.S. Holder fails to provide the holder’s taxpayer identification number, or certification of exempt status, or if the holder otherwise fails to comply with applicable requirements to establish an exemption.</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amounts withheld under the backup withholding rules will be allowed as a refund or a credit against the U.S. Holder’s U.S. federal income tax liability provided the required information is timely furnished to the IRS. U.S. Holders should consult their own tax advisors regarding their qualification for exemption from information reporting and backup withholding and the procedure for obtaining such exemption.</w:t>
      </w:r>
    </w:p>
    <w:p>
      <w:pPr>
        <w:spacing w:after="0" w:line="135" w:lineRule="exact"/>
        <w:rPr>
          <w:sz w:val="20"/>
          <w:szCs w:val="20"/>
          <w:color w:val="auto"/>
        </w:rPr>
      </w:pPr>
    </w:p>
    <w:p>
      <w:pPr>
        <w:ind w:right="502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Certain U.S. Federal Income Tax Considerations Applicable to Non-U.S. Holders </w:t>
      </w:r>
      <w:r>
        <w:rPr>
          <w:rFonts w:ascii="Times New Roman" w:cs="Times New Roman" w:eastAsia="Times New Roman" w:hAnsi="Times New Roman"/>
          <w:sz w:val="18"/>
          <w:szCs w:val="18"/>
          <w:b w:val="1"/>
          <w:bCs w:val="1"/>
          <w:i w:val="1"/>
          <w:iCs w:val="1"/>
          <w:color w:val="auto"/>
        </w:rPr>
        <w:t>Distributions</w:t>
      </w: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make distributions on our common stock to a Non-U.S. Holder, those distributions generally will constitute dividends for U.S. federal income tax purposes as described above under the section titled “</w:t>
      </w:r>
      <w:r>
        <w:rPr>
          <w:rFonts w:ascii="Times New Roman" w:cs="Times New Roman" w:eastAsia="Times New Roman" w:hAnsi="Times New Roman"/>
          <w:sz w:val="18"/>
          <w:szCs w:val="18"/>
          <w:i w:val="1"/>
          <w:iCs w:val="1"/>
          <w:color w:val="auto"/>
        </w:rPr>
        <w:t>U.S. Holders—Distributions</w:t>
      </w:r>
      <w:r>
        <w:rPr>
          <w:rFonts w:ascii="Times New Roman" w:cs="Times New Roman" w:eastAsia="Times New Roman" w:hAnsi="Times New Roman"/>
          <w:sz w:val="18"/>
          <w:szCs w:val="18"/>
          <w:color w:val="auto"/>
        </w:rPr>
        <w:t>.” To the extent those distributions do not constitute dividends for U.S. federal income tax purposes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amount of such distributions exceeds both our current and our accumulated earnings and profits), they will constitute a return of capital and will first reduce a Non-U.S. Holder’s basis in our common stock (determined separately with respect to each share of common stock), but not below zero, and then will be treated as gain from the sale of that share common stock as described below under the section titled “</w:t>
      </w:r>
      <w:r>
        <w:rPr>
          <w:rFonts w:ascii="Times New Roman" w:cs="Times New Roman" w:eastAsia="Times New Roman" w:hAnsi="Times New Roman"/>
          <w:sz w:val="18"/>
          <w:szCs w:val="18"/>
          <w:i w:val="1"/>
          <w:iCs w:val="1"/>
          <w:color w:val="auto"/>
        </w:rPr>
        <w:t>Disposition of Common Stock</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Any distribution (including constructive distributions) on shares of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stock is held through a financial institution or other agent, to the applicable withholding agent). In general, such effectively connected dividends will be subject to U.S. federal income tax on a net income basis at the regular tax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6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See also the sections below titled “</w:t>
      </w:r>
      <w:r>
        <w:rPr>
          <w:rFonts w:ascii="Times New Roman" w:cs="Times New Roman" w:eastAsia="Times New Roman" w:hAnsi="Times New Roman"/>
          <w:sz w:val="18"/>
          <w:szCs w:val="18"/>
          <w:i w:val="1"/>
          <w:iCs w:val="1"/>
          <w:color w:val="auto"/>
        </w:rPr>
        <w:t>Backup Withholding and Information Reporting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for additional withholding rules that may apply to dividends paid to certain foreign financial institutions or non-financial foreign entities.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Common Stock</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the sections titled “</w:t>
      </w:r>
      <w:r>
        <w:rPr>
          <w:rFonts w:ascii="Times New Roman" w:cs="Times New Roman" w:eastAsia="Times New Roman" w:hAnsi="Times New Roman"/>
          <w:sz w:val="18"/>
          <w:szCs w:val="18"/>
          <w:i w:val="1"/>
          <w:iCs w:val="1"/>
          <w:color w:val="auto"/>
        </w:rPr>
        <w:t>Backup Withholding and Information Reporting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a Non-U.S. Holder generally will not be subject to U.S. federal income or withholding tax with respect to gain recognized on a sale or other disposition (other than a redemption treated as a distribution, which will be taxable as described above under the section titled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of shares of Common Stock or Pre-Funded Warrants unless:</w:t>
      </w:r>
    </w:p>
    <w:p>
      <w:pPr>
        <w:spacing w:after="0" w:line="141" w:lineRule="exact"/>
        <w:rPr>
          <w:sz w:val="20"/>
          <w:szCs w:val="20"/>
          <w:color w:val="auto"/>
        </w:rPr>
      </w:pPr>
    </w:p>
    <w:p>
      <w:pPr>
        <w:jc w:val="both"/>
        <w:ind w:left="66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tax rates and in the manner applicable to U.S. persons, and if the Non-U.S. Holder is a corporation, an additional branch profits tax at a rate of 30%, or a lower rate as may be specified by an applicable income tax treaty, may also apply;</w:t>
      </w:r>
    </w:p>
    <w:p>
      <w:pPr>
        <w:spacing w:after="0" w:line="14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15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five-year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the common stock will be regularly traded on an established securities market for purposes of the rules described above.”</w:t>
      </w:r>
    </w:p>
    <w:p>
      <w:pPr>
        <w:spacing w:after="0" w:line="14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See the sections below titled “</w:t>
      </w:r>
      <w:r>
        <w:rPr>
          <w:rFonts w:ascii="Times New Roman" w:cs="Times New Roman" w:eastAsia="Times New Roman" w:hAnsi="Times New Roman"/>
          <w:sz w:val="18"/>
          <w:szCs w:val="18"/>
          <w:i w:val="1"/>
          <w:iCs w:val="1"/>
          <w:color w:val="auto"/>
        </w:rPr>
        <w:t>Backup Withholding and Information Reporting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for additional information regarding withholding rules that may apply to proceeds of a disposition of common stock paid to foreign financial institutions or non-financial foreign entities.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(including constructive distributions) on the common stock paid to such holder and the tax withheld, if any, with respect to such distributions. Non-U.S. Holders may have to comply with specific certification procedures to establish that the holder is not a U.S. person (as defined in the Code) in order to avoid backup withholding at the applicable rate, currently 24%, with respect to dividends (or constructive dividends) on the common stock. Generally, a holder will comply with such procedures if it provides a properly executed IRS Form W-8BEN (or other applicable IRS Form W-8) or otherwise meets documentary evidence requirements for establishing that it is a Non-U.S. Holder, or otherwise establishes an exemption. Dividends paid to Non-U.S. Holders subject to withholding of U.S. federal income tax, as described above under the section titled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will generally be exempt from U.S. backup withholding.</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the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4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Accounts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Foreign Account Tax Compliance Act (“FATCA”) generally imposes a 30% withholding tax on dividends (including constructive dividends) on the Common Stock and Pre-Funded Warrants if paid to a non-U.S. entity unless (i) if the non-U.S. entity is a “foreign financial institution,” the non-U.S. entity undertakes certain due diligence, reporting, withholding, and certification obligations, (ii) if the non-U.S. entity is not a “foreign financial institution,” the non-U.S. entity identifies certain of its U.S. investors, if any, or (iii) the non-U.S. entity is otherwise exempt under FATCA.</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Withholding under FATCA generally will apply to payments of dividends (including constructive dividends) on the common stock. While withholding under FATCA would have also applied to payments of gross proceeds from a sale or other disposition of the common stock, under proposed U.S. Treasury Regulations withholding on payments of gross proceeds is not required. Although such regulations are not final, applicable withholding agents may rely on the proposed regulations until final regulations are issued.</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intergovernmental agreement between the United States and an applicable foreign country may modify the requirements described in this section. Under certain circumstances, a holder may be eligible for refunds or credits of the tax. Holders should consult their own tax advisors regarding the possible implications of FATCA on their investment in the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Estate Tax</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Common stock owned or treated as owned by an individual who is not a citizen or resident of the United States (as specially defined for U.S. federal estate tax purposes) at the time of death will be included in the individual’s gross estate for U.S. federal estate tax purposes and, therefore, may be subject to U.S. federal estate tax, unless an applicable estate tax or other treaty provides otherwise. A Non-U.S. Holder should consult his, her, or its own tax advisor regarding the U.S. federal estate tax consequences of the ownership or disposition of shares of the common stock.</w:t>
      </w:r>
    </w:p>
    <w:p>
      <w:pPr>
        <w:spacing w:after="0" w:line="13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tax considerations is for information only. It is not tax advice. Prospective investors should consult their own tax advisors regarding the particular U.S. federal, state, local and non-U.S. tax consequences of purchasing, holding and disposing of the common stock, including the consequences of any proposed changes in applicable laws.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under this prospectus will be passed upon by Stradling Yocca Carlson &amp; Rauth LLP, Newport Beach, California. Ellenoff Grossman &amp; Schole LLP, New York, New York is acting as counsel for the Agent in this offering.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2025 and 2024, and for each of the two years in the period ended December 31, 2025, incorporated by reference in this prospectus supplement, have been audited by M&amp;K CPAS, PLLC, an independent registered public accounting firm. Such financial statements are incorporated by reference in reliance upon the report of such firm given their authority as experts in accounting and auditing.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including exhibits, under the Securities Act, with respect to our common stock offered under this prospectus. This prospectus, which constitutes a part of the registration statement, does not contain all of the information contained in the registration statement and its exhibits. Certain contracts and other documents described in this prospectus are filed as exhibits to the registration statement, or to documents incorporated by reference into the registration statement, and you may review the full text of these contracts and documents by referring to these exhibits. For further information with respect to us and our common stock offered under this prospectus, reference is made to the registration statement and its exhibits.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these reports, proxy and information statements, and other information we file electronically with the SEC. Our filings are available free of charge at the SEC’s website at www.sec.gov. We also maintain a website at www.expion360.com,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much of the information we file with the SEC, which means that we can disclose important information to you by referring you to those publicly available documents. The information that we incorporate by reference into this prospectus is considered to be part of this prospectus. These documents may include Annual Reports on Form 10-K, Quarterly Reports on Form 10-Q and Current Reports on Form 8-K, as well as proxy statements and information statements. You should read the information incorporated by reference because it is an important part of this prospectus.</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other than those documents or the portions of those documents deemed to be furnished and not filed in accordance with SEC rules:</w:t>
      </w:r>
    </w:p>
    <w:p>
      <w:pPr>
        <w:spacing w:after="0" w:line="13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for the year ended December 31, 2025, as filed with the SEC on March 17, 2026;</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1">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(Amendment No. 1) for the year ended December 31, 2025, as filed with the SEC on April 30, 2026;</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periods ended March 31, 2026, and June 30, 2026, as filed with the SEC on </w:t>
      </w:r>
      <w:hyperlink r:id="rId52">
        <w:r>
          <w:rPr>
            <w:rFonts w:ascii="Times New Roman" w:cs="Times New Roman" w:eastAsia="Times New Roman" w:hAnsi="Times New Roman"/>
            <w:sz w:val="18"/>
            <w:szCs w:val="18"/>
            <w:u w:val="single" w:color="auto"/>
            <w:color w:val="0000EE"/>
          </w:rPr>
          <w:t>May 15,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3">
        <w:r>
          <w:rPr>
            <w:rFonts w:ascii="Times New Roman" w:cs="Times New Roman" w:eastAsia="Times New Roman" w:hAnsi="Times New Roman"/>
            <w:sz w:val="18"/>
            <w:szCs w:val="18"/>
            <w:u w:val="single" w:color="auto"/>
            <w:color w:val="0000EE"/>
          </w:rPr>
          <w:t>August 10,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134"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as filed with the SEC on </w:t>
      </w:r>
      <w:hyperlink r:id="rId54">
        <w:r>
          <w:rPr>
            <w:rFonts w:ascii="Times New Roman" w:cs="Times New Roman" w:eastAsia="Times New Roman" w:hAnsi="Times New Roman"/>
            <w:sz w:val="18"/>
            <w:szCs w:val="18"/>
            <w:u w:val="single" w:color="auto"/>
            <w:color w:val="0000EE"/>
          </w:rPr>
          <w:t>January 30, 2026</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July 7, 2026</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July 16, 2026</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August 4, 2026</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August 24, 2026</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August 31,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October 22,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2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Capital Stock set forth in </w:t>
      </w:r>
      <w:hyperlink r:id="rId61">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2025, as filed with the SEC on March 17, 2026.</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Capital Stock set forth in Exhibit 4.4 to our Annual Report on Form 10-K for the year ended December 31, 2025, as filed with the SEC on March 17, 2026.</w:t>
      </w:r>
    </w:p>
    <w:p>
      <w:pPr>
        <w:spacing w:after="0" w:line="162" w:lineRule="exact"/>
        <w:rPr>
          <w:rFonts w:ascii="Times New Roman" w:cs="Times New Roman" w:eastAsia="Times New Roman" w:hAnsi="Times New Roman"/>
          <w:sz w:val="18"/>
          <w:szCs w:val="18"/>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after the date of this prospectus supplement but prior to the termination of this offering,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5" w:lineRule="exact"/>
        <w:rPr>
          <w:rFonts w:ascii="Times New Roman" w:cs="Times New Roman" w:eastAsia="Times New Roman" w:hAnsi="Times New Roman"/>
          <w:sz w:val="18"/>
          <w:szCs w:val="18"/>
          <w:color w:val="0000EE"/>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obtain copies of the documents incorporated by reference in this prospectus from us free of charge by requesting them in writing or by telephone at the following address:</w:t>
      </w:r>
    </w:p>
    <w:p>
      <w:pPr>
        <w:spacing w:after="0" w:line="12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Robert Winspear</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Expion Energy, Inc.</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Redmond, Oregon 97756</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(541) 797-6714</w:t>
      </w:r>
    </w:p>
    <w:p>
      <w:pPr>
        <w:spacing w:after="0" w:line="166"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84"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423545</wp:posOffset>
            </wp:positionV>
            <wp:extent cx="5983605" cy="33604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98360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18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Up to $1,666,183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an estimate (except in the case of the SEC registration fee and the FINRA filing fee) of the amount of fees and expenses that Expion Energy, Inc. (the “Registrant”) may incur in connection with the issuance and distribution of the offered securities, other than underwriting discounts and commissions.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9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registration fee</w:t>
            </w:r>
            <w:r>
              <w:rPr>
                <w:rFonts w:ascii="Times New Roman" w:cs="Times New Roman" w:eastAsia="Times New Roman" w:hAnsi="Times New Roman"/>
                <w:sz w:val="29"/>
                <w:szCs w:val="29"/>
                <w:color w:val="auto"/>
                <w:vertAlign w:val="superscript"/>
              </w:rPr>
              <w:t>†</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FINRA filing fee</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9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fees and expenses</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fees and expenses</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1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jc w:val="both"/>
        <w:ind w:left="240" w:right="100" w:hanging="135"/>
        <w:spacing w:after="0" w:line="261" w:lineRule="auto"/>
        <w:tabs>
          <w:tab w:leader="none" w:pos="6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SEC registration fee and FINRA filing fee, estimated expenses are not presently known. The foregoing sets forth the general categories of expenses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72" w:lineRule="exact"/>
        <w:rPr>
          <w:sz w:val="20"/>
          <w:szCs w:val="20"/>
          <w:color w:val="auto"/>
        </w:rPr>
      </w:pPr>
    </w:p>
    <w:p>
      <w:pPr>
        <w:jc w:val="both"/>
        <w:ind w:left="240" w:right="100" w:hanging="135"/>
        <w:spacing w:after="0" w:line="255" w:lineRule="auto"/>
        <w:tabs>
          <w:tab w:leader="none" w:pos="2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registration fee offset pursuant to Rule 457(p). We previously registered $50,000,000 in aggregate offering price of our securities pursuant to the Registration Statement on Form S-3 (File No. 333-272956), originally filed on June 27, 2023, and declared effective on July 10, 2023 (the “Prior Registration Statement”), which Prior Registration Statement has expired because more than three years have elapsed since the initial effective date thereof and all offerings thereunder have been completed or terminated. At the time the Prior Registration Statement expired, $48,678,497 of the maximum aggregate offering amount of our common stock remained unsold (the “Unsold Securities”). Pursuant to Rule 457(p) under the Securities Act, we are offsetting the full registration fee due under this registration statement, or $4,350, which represents a portion of the registration fee relating to the Unsold Securities previously paid in connection with the Prior Registration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Nevada Revised Statutes (“NRS”) 78.138(7) provides that, subject to limited statutory exceptions and unless the articles of incorporation or an amendment thereto (in each case filed on or after October 1, 2003) provide for greater individual liability, a director or officer is not individually liable to a corporation or its stockholders or creditors for any damages as a result of any act or failure to act in his or her capacity as a director or officer unless it is proven that: (i) the act or failure to act constituted a breach of his or her fiduciary duties as a director or officer and (ii) the breach of those duties involved intentional misconduct, fraud or a knowing violation of law.</w:t>
      </w:r>
    </w:p>
    <w:p>
      <w:pPr>
        <w:spacing w:after="0" w:line="14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NRS 78.7502(1)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(i) is not liable pursuant to NRS 78.138 or (ii) acted in good faith and in a manner which he or she reasonably believed to be in or not opposed to the best interests of the corporation, and, with respect to any criminal action or proceeding, had no reasonable cause to believe the conduct was unlawful. NRS 78.7502(2)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the person in connection with the defense or settlement of the action or suit if the person (a) is not liable pursuant to NRS 78.138 or (ii) acted in good faith and in a manner which he or she reasonably believed to be in or not opposed to the best interests of the corporation. To the extent that a director, officer, employee or agent of a corporation has been successful on the merits or otherwise in defense of any such action, suit or proceeding, or in defense of any claim, issue or matter therein, the corporation shall indemnify him or her against expenses, including attorneys’ fees, actually and reasonably incurred by him or her in connection with the defense.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or she reasonably believed to be in or not opposed to the best interests of the corporation, or that, with respect to any criminal action or proceeding, he or she had reasonable cause to believe that the conduct was unlawful.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2" w:name="page63"/>
    <w:bookmarkEnd w:id="62"/>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NRS 78.751(1) provides that any discretionary indemnification pursuant to NRS 78.7502 (unless ordered by a court or advanced pursuant to NRS 78.751(2)), may be made by the corporation only as authorized in the specific case upon a determination that indemnification of the director, officer, employee or agent is proper in the circumstances. The determination must be made (i) by the stockholders; (ii) by the board of directors by majority vote of a quorum consisting of directors who were not parties to the action, suit or proceeding; (iii) if a majority vote of a quorum consisting of directors who were not parties to the action, suit or proceeding so orders, by independent legal counsel in a written opinion; or (iv) if a quorum consisting of directors who were not parties to the action, suit or proceeding cannot be obtained, by independent legal counsel in a written opinion. NRS 78.751(2) provides that the corporation’s articles of incorporation or bylaws, or an agreement made by the corporation, may provide that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w:t>
      </w:r>
    </w:p>
    <w:p>
      <w:pPr>
        <w:spacing w:after="0" w:line="1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the NRS, the indemnification pursuant to NRS 78.7502 and advancement of expenses authorized in or ordered by a court pursuant to NRS 78.751:</w:t>
      </w:r>
    </w:p>
    <w:p>
      <w:pPr>
        <w:spacing w:after="0" w:line="135" w:lineRule="exact"/>
        <w:rPr>
          <w:sz w:val="20"/>
          <w:szCs w:val="20"/>
          <w:color w:val="auto"/>
        </w:rPr>
      </w:pPr>
    </w:p>
    <w:p>
      <w:pPr>
        <w:jc w:val="both"/>
        <w:ind w:left="660" w:hanging="328"/>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made pursuant to NRS 78.751(2), may not be made to or on behalf of any director or officer if a final adjudication establishes that the director’s or officer’s acts or omissions involved intentional misconduct, fraud or a knowing violation of the law and was material to the cause of action; and</w:t>
      </w:r>
    </w:p>
    <w:p>
      <w:pPr>
        <w:spacing w:after="0" w:line="14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for a person who has ceased to be a director, officer, employee or agent and inures to the benefit of the heirs, executors and administrators of such a person.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articles of incorporation or any bylaw is not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Articles of Incorporation of the Company provide that to the fullest extent permitted under the NRS (including, without limitation, to the fullest extent permitted under NRS 78.7502 and 78.751(3)) and other applicable law, the Company shall indemnify directors and officers of the Company in their respective capacities as such and in any and all other capacities in which any of them serves at the request of the Company. The Articles of Incorporation of the Company further provide that the liability of its directors and officers shall be eliminated or limited to the fullest extent permitted by the NRS, and that if the NRS are amended to further eliminate or limit or authorize corporate action to further eliminate or limit the liability of directors or officers, the liability of directors and officers of the Company shall be eliminated or limited to the fullest extent permitted by the NRS, as so amended from time to time; and in addition to any fother rights of indemnification permitted by the laws of the State of Nevada or as may be provided for by the Company in its Bylaws or by agreement, the expenses of directors and officers incurred in defending a civil or criminal action, suit or proceeding, involving alleged acts or omissions of such director or officer in his or her capacity as a director or officer of the Company, must be paid, by the Company or through insurance purchased and maintained by the Company or through other financial arrangements made by the Company,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Company.</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the Company has entered into indemnification arrangements with each of its directors and executive officers that may be broader than the specific indemnification provisions contained in the NRS. Such arrangements may require the Company, among other things, to advance expenses and otherwise indemnify its executive officers and directors against certain liabilities that may arise by reason of their status or service as executive officers or directors, to the fullest extent permitted by law. The Company intends to enter into indemnification arrangements with any new directors and executive officers in the future.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73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8100" w:type="dxa"/>
            <w:vAlign w:val="bottom"/>
            <w:gridSpan w:val="33"/>
          </w:tcPr>
          <w:p>
            <w:pPr>
              <w:jc w:val="center"/>
              <w:ind w:left="90"/>
              <w:spacing w:after="0"/>
              <w:rPr>
                <w:sz w:val="20"/>
                <w:szCs w:val="20"/>
                <w:color w:val="auto"/>
              </w:rPr>
            </w:pPr>
            <w:r>
              <w:rPr>
                <w:rFonts w:ascii="Times New Roman" w:cs="Times New Roman" w:eastAsia="Times New Roman" w:hAnsi="Times New Roman"/>
                <w:sz w:val="18"/>
                <w:szCs w:val="18"/>
                <w:color w:val="auto"/>
                <w:w w:val="99"/>
              </w:rPr>
              <w:t>The following exhibits are filed herewith, or were previously filed and are hereby incorporated by reference.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8"/>
          </w:tcPr>
          <w:p>
            <w:pPr>
              <w:ind w:left="5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820" w:type="dxa"/>
            <w:vAlign w:val="bottom"/>
            <w:gridSpan w:val="4"/>
          </w:tcPr>
          <w:p>
            <w:pPr>
              <w:jc w:val="right"/>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8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60" w:type="dxa"/>
            <w:vAlign w:val="bottom"/>
            <w:gridSpan w:val="1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Exhibit Description</w:t>
            </w:r>
          </w:p>
        </w:tc>
        <w:tc>
          <w:tcPr>
            <w:tcW w:w="180" w:type="dxa"/>
            <w:vAlign w:val="bottom"/>
          </w:tcPr>
          <w:p>
            <w:pPr>
              <w:spacing w:after="0"/>
              <w:rPr>
                <w:sz w:val="20"/>
                <w:szCs w:val="20"/>
                <w:color w:val="auto"/>
              </w:rPr>
            </w:pPr>
          </w:p>
        </w:tc>
        <w:tc>
          <w:tcPr>
            <w:tcW w:w="6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80" w:type="dxa"/>
            <w:vAlign w:val="bottom"/>
          </w:tcPr>
          <w:p>
            <w:pPr>
              <w:spacing w:after="0"/>
              <w:rPr>
                <w:sz w:val="20"/>
                <w:szCs w:val="20"/>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820" w:type="dxa"/>
            <w:vAlign w:val="bottom"/>
            <w:tcBorders>
              <w:top w:val="single" w:sz="8" w:color="auto"/>
            </w:tcBorders>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0" w:type="dxa"/>
            <w:vAlign w:val="bottom"/>
            <w:tcBorders>
              <w:top w:val="single" w:sz="8" w:color="auto"/>
            </w:tcBorders>
            <w:gridSpan w:val="21"/>
          </w:tcPr>
          <w:p>
            <w:pPr>
              <w:spacing w:after="0" w:line="191"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At-the-Market Issuance Sales Agreement, dated October 23, 2026, by and between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91"/>
              </w:rPr>
              <w:t>X</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 and H.C. Wainwright &amp; Co., LLC</w:t>
            </w:r>
          </w:p>
        </w:tc>
        <w:tc>
          <w:tcPr>
            <w:tcW w:w="2500" w:type="dxa"/>
            <w:vAlign w:val="bottom"/>
            <w:tcBorders>
              <w:top w:val="single" w:sz="8" w:color="0000EE"/>
            </w:tcBorders>
            <w:gridSpan w:val="7"/>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Articles of Incorporation of the Company, effective November 4, 2021</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300"/>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S-1</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03/31/2022</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Certificate of Amendment of Articles of Incorporation, effective October 8, 2024</w:t>
              </w:r>
            </w:hyperlink>
          </w:p>
        </w:tc>
        <w:tc>
          <w:tcPr>
            <w:tcW w:w="3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center"/>
              <w:spacing w:after="0" w:line="196" w:lineRule="exact"/>
              <w:rPr>
                <w:rFonts w:ascii="Times New Roman" w:cs="Times New Roman" w:eastAsia="Times New Roman" w:hAnsi="Times New Roman"/>
                <w:sz w:val="18"/>
                <w:szCs w:val="18"/>
                <w:color w:val="0000EE"/>
                <w:w w:val="92"/>
              </w:rPr>
            </w:pPr>
            <w:hyperlink r:id="rId93">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7"/>
                <w:szCs w:val="17"/>
                <w:color w:val="auto"/>
              </w:rPr>
            </w:pPr>
          </w:p>
        </w:tc>
        <w:tc>
          <w:tcPr>
            <w:tcW w:w="940" w:type="dxa"/>
            <w:vAlign w:val="bottom"/>
            <w:gridSpan w:val="5"/>
          </w:tcPr>
          <w:p>
            <w:pPr>
              <w:jc w:val="cente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10/07//2024</w:t>
              </w:r>
            </w:hyperlink>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Certificate of Change, effective July 21, 2026</w:t>
              </w:r>
            </w:hyperlink>
          </w:p>
        </w:tc>
        <w:tc>
          <w:tcPr>
            <w:tcW w:w="3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0000EE"/>
            </w:tcBorders>
          </w:tcPr>
          <w:p>
            <w:pPr>
              <w:jc w:val="center"/>
              <w:spacing w:after="0" w:line="196" w:lineRule="exact"/>
              <w:rPr>
                <w:rFonts w:ascii="Times New Roman" w:cs="Times New Roman" w:eastAsia="Times New Roman" w:hAnsi="Times New Roman"/>
                <w:sz w:val="18"/>
                <w:szCs w:val="18"/>
                <w:color w:val="0000EE"/>
                <w:w w:val="92"/>
              </w:rPr>
            </w:pPr>
            <w:hyperlink r:id="rId94">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0000EE"/>
            </w:tcBorders>
            <w:gridSpan w:val="3"/>
          </w:tcPr>
          <w:p>
            <w:pPr>
              <w:jc w:val="cente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07/16/2026</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Certificate of Amendment of Articles of Incorporation, effective as of August 20,</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300"/>
              <w:spacing w:after="0" w:line="196" w:lineRule="exact"/>
              <w:rPr>
                <w:rFonts w:ascii="Times New Roman" w:cs="Times New Roman" w:eastAsia="Times New Roman" w:hAnsi="Times New Roman"/>
                <w:sz w:val="18"/>
                <w:szCs w:val="18"/>
                <w:color w:val="0000EE"/>
                <w:w w:val="92"/>
              </w:rPr>
            </w:pPr>
            <w:hyperlink r:id="rId95">
              <w:r>
                <w:rPr>
                  <w:rFonts w:ascii="Times New Roman" w:cs="Times New Roman" w:eastAsia="Times New Roman" w:hAnsi="Times New Roman"/>
                  <w:sz w:val="18"/>
                  <w:szCs w:val="18"/>
                  <w:color w:val="0000EE"/>
                  <w:w w:val="92"/>
                </w:rPr>
                <w:t>8-K</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08/24/2026</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ind w:left="200"/>
              <w:spacing w:after="0" w:line="196" w:lineRule="exact"/>
              <w:rPr>
                <w:rFonts w:ascii="Times New Roman" w:cs="Times New Roman" w:eastAsia="Times New Roman" w:hAnsi="Times New Roman"/>
                <w:sz w:val="18"/>
                <w:szCs w:val="18"/>
                <w:color w:val="0000EE"/>
                <w:w w:val="94"/>
              </w:rPr>
            </w:pPr>
            <w:hyperlink r:id="rId95">
              <w:r>
                <w:rPr>
                  <w:rFonts w:ascii="Times New Roman" w:cs="Times New Roman" w:eastAsia="Times New Roman" w:hAnsi="Times New Roman"/>
                  <w:sz w:val="18"/>
                  <w:szCs w:val="18"/>
                  <w:color w:val="0000EE"/>
                  <w:w w:val="94"/>
                </w:rPr>
                <w:t>2026</w:t>
              </w:r>
            </w:hyperlink>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Bylaws of the Company, dated August 21, 2024</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300"/>
              <w:spacing w:after="0" w:line="196" w:lineRule="exact"/>
              <w:rPr>
                <w:rFonts w:ascii="Times New Roman" w:cs="Times New Roman" w:eastAsia="Times New Roman" w:hAnsi="Times New Roman"/>
                <w:sz w:val="18"/>
                <w:szCs w:val="18"/>
                <w:color w:val="0000EE"/>
                <w:w w:val="92"/>
              </w:rPr>
            </w:pPr>
            <w:hyperlink r:id="rId96">
              <w:r>
                <w:rPr>
                  <w:rFonts w:ascii="Times New Roman" w:cs="Times New Roman" w:eastAsia="Times New Roman" w:hAnsi="Times New Roman"/>
                  <w:sz w:val="18"/>
                  <w:szCs w:val="18"/>
                  <w:color w:val="0000EE"/>
                  <w:w w:val="92"/>
                </w:rPr>
                <w:t>8-K</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08/27/2024</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Certificate of Amendment of Amended and Restated Bylaws, dated August 20, 2026</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0000EE"/>
            </w:tcBorders>
            <w:gridSpan w:val="2"/>
          </w:tcPr>
          <w:p>
            <w:pPr>
              <w:jc w:val="center"/>
              <w:ind w:right="60"/>
              <w:spacing w:after="0" w:line="196" w:lineRule="exact"/>
              <w:rPr>
                <w:rFonts w:ascii="Times New Roman" w:cs="Times New Roman" w:eastAsia="Times New Roman" w:hAnsi="Times New Roman"/>
                <w:sz w:val="18"/>
                <w:szCs w:val="18"/>
                <w:color w:val="0000EE"/>
                <w:w w:val="92"/>
              </w:rPr>
            </w:pPr>
            <w:hyperlink r:id="rId97">
              <w:r>
                <w:rPr>
                  <w:rFonts w:ascii="Times New Roman" w:cs="Times New Roman" w:eastAsia="Times New Roman" w:hAnsi="Times New Roman"/>
                  <w:sz w:val="18"/>
                  <w:szCs w:val="18"/>
                  <w:color w:val="0000EE"/>
                  <w:w w:val="92"/>
                </w:rPr>
                <w:t>8-K</w:t>
              </w:r>
            </w:hyperlink>
          </w:p>
        </w:tc>
        <w:tc>
          <w:tcPr>
            <w:tcW w:w="240" w:type="dxa"/>
            <w:vAlign w:val="bottom"/>
            <w:gridSpan w:val="2"/>
          </w:tcPr>
          <w:p>
            <w:pPr>
              <w:spacing w:after="0"/>
              <w:rPr>
                <w:sz w:val="17"/>
                <w:szCs w:val="17"/>
                <w:color w:val="auto"/>
              </w:rPr>
            </w:pPr>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08/24/2026</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Common Stock Certificate</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300"/>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S-1</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03/31/2022</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Form of Indenture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1"/>
              </w:rPr>
              <w:t>X</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gridSpan w:val="5"/>
          </w:tcPr>
          <w:p>
            <w:pPr>
              <w:jc w:val="right"/>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0" w:type="dxa"/>
            <w:vAlign w:val="bottom"/>
            <w:gridSpan w:val="21"/>
          </w:tcPr>
          <w:p>
            <w:pPr>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Representative’s Warrant Agreement</w:t>
              </w:r>
            </w:hyperlink>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4"/>
          </w:tcPr>
          <w:p>
            <w:pPr>
              <w:jc w:val="center"/>
              <w:ind w:right="300"/>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S-1</w:t>
              </w:r>
            </w:hyperlink>
          </w:p>
        </w:tc>
        <w:tc>
          <w:tcPr>
            <w:tcW w:w="900" w:type="dxa"/>
            <w:vAlign w:val="bottom"/>
            <w:gridSpan w:val="4"/>
          </w:tcPr>
          <w:p>
            <w:pPr>
              <w:jc w:val="center"/>
              <w:spacing w:after="0" w:line="194"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03/31/2022</w:t>
              </w:r>
            </w:hyperlink>
          </w:p>
        </w:tc>
        <w:tc>
          <w:tcPr>
            <w:tcW w:w="40" w:type="dxa"/>
            <w:vAlign w:val="bottom"/>
          </w:tcPr>
          <w:p>
            <w:pPr>
              <w:spacing w:after="0"/>
              <w:rPr>
                <w:sz w:val="16"/>
                <w:szCs w:val="16"/>
                <w:color w:val="auto"/>
              </w:rPr>
            </w:pPr>
          </w:p>
        </w:tc>
        <w:tc>
          <w:tcPr>
            <w:tcW w:w="880" w:type="dxa"/>
            <w:vAlign w:val="bottom"/>
            <w:gridSpan w:val="5"/>
          </w:tcPr>
          <w:p>
            <w:pPr>
              <w:jc w:val="right"/>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Senior Secured Promissory Note issued to bridge loan investors</w:t>
              </w:r>
            </w:hyperlink>
          </w:p>
        </w:tc>
        <w:tc>
          <w:tcPr>
            <w:tcW w:w="10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300"/>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S-1</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03/31/2022</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Description of Capital Stock</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240"/>
              <w:spacing w:after="0" w:line="196" w:lineRule="exact"/>
              <w:rPr>
                <w:rFonts w:ascii="Times New Roman" w:cs="Times New Roman" w:eastAsia="Times New Roman" w:hAnsi="Times New Roman"/>
                <w:sz w:val="18"/>
                <w:szCs w:val="18"/>
                <w:color w:val="0000EE"/>
                <w:w w:val="86"/>
              </w:rPr>
            </w:pPr>
            <w:hyperlink r:id="rId61">
              <w:r>
                <w:rPr>
                  <w:rFonts w:ascii="Times New Roman" w:cs="Times New Roman" w:eastAsia="Times New Roman" w:hAnsi="Times New Roman"/>
                  <w:sz w:val="18"/>
                  <w:szCs w:val="18"/>
                  <w:color w:val="0000EE"/>
                  <w:w w:val="86"/>
                </w:rPr>
                <w:t>10-K</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03/16/2026</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March 2022 Form of Common Stock Warrant</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300"/>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S-1</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03/31/2022</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0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10</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 xml:space="preserve">March 2023 Form of Warrant with an Exercise Price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2.90</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240"/>
              <w:spacing w:after="0" w:line="196" w:lineRule="exact"/>
              <w:rPr>
                <w:rFonts w:ascii="Times New Roman" w:cs="Times New Roman" w:eastAsia="Times New Roman" w:hAnsi="Times New Roman"/>
                <w:sz w:val="18"/>
                <w:szCs w:val="18"/>
                <w:color w:val="0000EE"/>
                <w:w w:val="86"/>
              </w:rPr>
            </w:pPr>
            <w:hyperlink r:id="rId102">
              <w:r>
                <w:rPr>
                  <w:rFonts w:ascii="Times New Roman" w:cs="Times New Roman" w:eastAsia="Times New Roman" w:hAnsi="Times New Roman"/>
                  <w:sz w:val="18"/>
                  <w:szCs w:val="18"/>
                  <w:color w:val="0000EE"/>
                  <w:w w:val="86"/>
                </w:rPr>
                <w:t>10-K</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03/30/2023</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0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 xml:space="preserve">March 2023 Form of Warrant with an Exercise Price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3.32</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240"/>
              <w:spacing w:after="0" w:line="196" w:lineRule="exact"/>
              <w:rPr>
                <w:rFonts w:ascii="Times New Roman" w:cs="Times New Roman" w:eastAsia="Times New Roman" w:hAnsi="Times New Roman"/>
                <w:sz w:val="18"/>
                <w:szCs w:val="18"/>
                <w:color w:val="0000EE"/>
                <w:w w:val="86"/>
              </w:rPr>
            </w:pPr>
            <w:hyperlink r:id="rId103">
              <w:r>
                <w:rPr>
                  <w:rFonts w:ascii="Times New Roman" w:cs="Times New Roman" w:eastAsia="Times New Roman" w:hAnsi="Times New Roman"/>
                  <w:sz w:val="18"/>
                  <w:szCs w:val="18"/>
                  <w:color w:val="0000EE"/>
                  <w:w w:val="86"/>
                </w:rPr>
                <w:t>10-K</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03/30/2023</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0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12</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gridSpan w:val="9"/>
          </w:tcPr>
          <w:p>
            <w:pPr>
              <w:spacing w:after="0" w:line="196" w:lineRule="exact"/>
              <w:rPr>
                <w:rFonts w:ascii="Times New Roman" w:cs="Times New Roman" w:eastAsia="Times New Roman" w:hAnsi="Times New Roman"/>
                <w:sz w:val="18"/>
                <w:szCs w:val="18"/>
                <w:color w:val="0000EE"/>
                <w:w w:val="97"/>
              </w:rPr>
            </w:pPr>
            <w:hyperlink r:id="rId104">
              <w:r>
                <w:rPr>
                  <w:rFonts w:ascii="Times New Roman" w:cs="Times New Roman" w:eastAsia="Times New Roman" w:hAnsi="Times New Roman"/>
                  <w:sz w:val="18"/>
                  <w:szCs w:val="18"/>
                  <w:color w:val="0000EE"/>
                  <w:w w:val="97"/>
                </w:rPr>
                <w:t>December 2023 Form of Convertible Note</w:t>
              </w:r>
            </w:hyperlink>
          </w:p>
        </w:tc>
        <w:tc>
          <w:tcPr>
            <w:tcW w:w="316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center"/>
              <w:spacing w:after="0" w:line="196" w:lineRule="exact"/>
              <w:rPr>
                <w:rFonts w:ascii="Times New Roman" w:cs="Times New Roman" w:eastAsia="Times New Roman" w:hAnsi="Times New Roman"/>
                <w:sz w:val="18"/>
                <w:szCs w:val="18"/>
                <w:color w:val="0000EE"/>
                <w:w w:val="92"/>
              </w:rPr>
            </w:pPr>
            <w:hyperlink r:id="rId104">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7"/>
                <w:szCs w:val="17"/>
                <w:color w:val="auto"/>
              </w:rPr>
            </w:pPr>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12/29/2023</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0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13</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gridSpan w:val="9"/>
          </w:tcPr>
          <w:p>
            <w:pPr>
              <w:spacing w:after="0" w:line="196" w:lineRule="exact"/>
              <w:rPr>
                <w:rFonts w:ascii="Times New Roman" w:cs="Times New Roman" w:eastAsia="Times New Roman" w:hAnsi="Times New Roman"/>
                <w:sz w:val="18"/>
                <w:szCs w:val="18"/>
                <w:color w:val="0000EE"/>
                <w:w w:val="97"/>
              </w:rPr>
            </w:pPr>
            <w:hyperlink r:id="rId105">
              <w:r>
                <w:rPr>
                  <w:rFonts w:ascii="Times New Roman" w:cs="Times New Roman" w:eastAsia="Times New Roman" w:hAnsi="Times New Roman"/>
                  <w:sz w:val="18"/>
                  <w:szCs w:val="18"/>
                  <w:color w:val="0000EE"/>
                  <w:w w:val="97"/>
                </w:rPr>
                <w:t>August 2024 Form of Pre-Funded Warrant</w:t>
              </w:r>
            </w:hyperlink>
          </w:p>
        </w:tc>
        <w:tc>
          <w:tcPr>
            <w:tcW w:w="316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center"/>
              <w:spacing w:after="0" w:line="196" w:lineRule="exact"/>
              <w:rPr>
                <w:rFonts w:ascii="Times New Roman" w:cs="Times New Roman" w:eastAsia="Times New Roman" w:hAnsi="Times New Roman"/>
                <w:sz w:val="18"/>
                <w:szCs w:val="18"/>
                <w:color w:val="0000EE"/>
                <w:w w:val="92"/>
              </w:rPr>
            </w:pPr>
            <w:hyperlink r:id="rId105">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7"/>
                <w:szCs w:val="17"/>
                <w:color w:val="auto"/>
              </w:rPr>
            </w:pPr>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08/09/2024</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0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14</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August 2024 Form of Series A Warrant</w:t>
              </w:r>
            </w:hyperlink>
          </w:p>
        </w:tc>
        <w:tc>
          <w:tcPr>
            <w:tcW w:w="220" w:type="dxa"/>
            <w:vAlign w:val="bottom"/>
            <w:gridSpan w:val="2"/>
          </w:tcPr>
          <w:p>
            <w:pPr>
              <w:spacing w:after="0"/>
              <w:rPr>
                <w:sz w:val="17"/>
                <w:szCs w:val="17"/>
                <w:color w:val="auto"/>
              </w:rPr>
            </w:pPr>
          </w:p>
        </w:tc>
        <w:tc>
          <w:tcPr>
            <w:tcW w:w="316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center"/>
              <w:spacing w:after="0" w:line="196" w:lineRule="exact"/>
              <w:rPr>
                <w:rFonts w:ascii="Times New Roman" w:cs="Times New Roman" w:eastAsia="Times New Roman" w:hAnsi="Times New Roman"/>
                <w:sz w:val="18"/>
                <w:szCs w:val="18"/>
                <w:color w:val="0000EE"/>
                <w:w w:val="92"/>
              </w:rPr>
            </w:pPr>
            <w:hyperlink r:id="rId106">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7"/>
                <w:szCs w:val="17"/>
                <w:color w:val="auto"/>
              </w:rPr>
            </w:pPr>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08/09/2024</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0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15</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August 2024 Form of Series B Warrant</w:t>
              </w:r>
            </w:hyperlink>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right="300"/>
              <w:spacing w:after="0" w:line="196" w:lineRule="exact"/>
              <w:rPr>
                <w:rFonts w:ascii="Times New Roman" w:cs="Times New Roman" w:eastAsia="Times New Roman" w:hAnsi="Times New Roman"/>
                <w:sz w:val="18"/>
                <w:szCs w:val="18"/>
                <w:color w:val="0000EE"/>
                <w:w w:val="92"/>
              </w:rPr>
            </w:pPr>
            <w:hyperlink r:id="rId107">
              <w:r>
                <w:rPr>
                  <w:rFonts w:ascii="Times New Roman" w:cs="Times New Roman" w:eastAsia="Times New Roman" w:hAnsi="Times New Roman"/>
                  <w:sz w:val="18"/>
                  <w:szCs w:val="18"/>
                  <w:color w:val="0000EE"/>
                  <w:w w:val="92"/>
                </w:rPr>
                <w:t>8-K</w:t>
              </w:r>
            </w:hyperlink>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08/09/2024</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0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16</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gridSpan w:val="10"/>
          </w:tcPr>
          <w:p>
            <w:pPr>
              <w:spacing w:after="0" w:line="196" w:lineRule="exact"/>
              <w:rPr>
                <w:rFonts w:ascii="Times New Roman" w:cs="Times New Roman" w:eastAsia="Times New Roman" w:hAnsi="Times New Roman"/>
                <w:sz w:val="18"/>
                <w:szCs w:val="18"/>
                <w:color w:val="0000EE"/>
                <w:w w:val="96"/>
              </w:rPr>
            </w:pPr>
            <w:hyperlink r:id="rId108">
              <w:r>
                <w:rPr>
                  <w:rFonts w:ascii="Times New Roman" w:cs="Times New Roman" w:eastAsia="Times New Roman" w:hAnsi="Times New Roman"/>
                  <w:sz w:val="18"/>
                  <w:szCs w:val="18"/>
                  <w:color w:val="0000EE"/>
                  <w:w w:val="96"/>
                </w:rPr>
                <w:t>October 2025 Form of Pre-Funded Warrant</w:t>
              </w:r>
            </w:hyperlink>
          </w:p>
        </w:tc>
        <w:tc>
          <w:tcPr>
            <w:tcW w:w="312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center"/>
              <w:spacing w:after="0" w:line="196" w:lineRule="exact"/>
              <w:rPr>
                <w:rFonts w:ascii="Times New Roman" w:cs="Times New Roman" w:eastAsia="Times New Roman" w:hAnsi="Times New Roman"/>
                <w:sz w:val="18"/>
                <w:szCs w:val="18"/>
                <w:color w:val="0000EE"/>
                <w:w w:val="92"/>
              </w:rPr>
            </w:pPr>
            <w:hyperlink r:id="rId108">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7"/>
                <w:szCs w:val="17"/>
                <w:color w:val="auto"/>
              </w:rPr>
            </w:pPr>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10/17/2025</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0" w:type="dxa"/>
            <w:vAlign w:val="bottom"/>
            <w:gridSpan w:val="3"/>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4.17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October 2025 Form of Common Warrant</w:t>
            </w:r>
          </w:p>
        </w:tc>
        <w:tc>
          <w:tcPr>
            <w:tcW w:w="3120" w:type="dxa"/>
            <w:vAlign w:val="bottom"/>
            <w:gridSpan w:val="11"/>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300" w:type="dxa"/>
            <w:vAlign w:val="bottom"/>
            <w:gridSpan w:val="3"/>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10/17/2025</w:t>
            </w:r>
          </w:p>
        </w:tc>
        <w:tc>
          <w:tcPr>
            <w:tcW w:w="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20" w:type="dxa"/>
            <w:vAlign w:val="bottom"/>
            <w:gridSpan w:val="3"/>
          </w:tcPr>
          <w:p>
            <w:pPr>
              <w:spacing w:after="0"/>
              <w:rPr>
                <w:sz w:val="16"/>
                <w:szCs w:val="16"/>
                <w:color w:val="auto"/>
              </w:rPr>
            </w:pPr>
          </w:p>
        </w:tc>
        <w:tc>
          <w:tcPr>
            <w:tcW w:w="300" w:type="dxa"/>
            <w:vAlign w:val="bottom"/>
            <w:gridSpan w:val="2"/>
          </w:tcPr>
          <w:p>
            <w:pPr>
              <w:jc w:val="right"/>
              <w:spacing w:after="0" w:line="194" w:lineRule="exact"/>
              <w:rPr>
                <w:rFonts w:ascii="Times New Roman" w:cs="Times New Roman" w:eastAsia="Times New Roman" w:hAnsi="Times New Roman"/>
                <w:sz w:val="18"/>
                <w:szCs w:val="18"/>
                <w:color w:val="0000EE"/>
                <w:w w:val="88"/>
              </w:rPr>
            </w:pPr>
            <w:hyperlink r:id="rId10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18</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gridSpan w:val="10"/>
          </w:tcPr>
          <w:p>
            <w:pPr>
              <w:spacing w:after="0" w:line="194"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January 2025 Form of Pre-Funded Warrant</w:t>
              </w:r>
            </w:hyperlink>
          </w:p>
        </w:tc>
        <w:tc>
          <w:tcPr>
            <w:tcW w:w="3120" w:type="dxa"/>
            <w:vAlign w:val="bottom"/>
            <w:gridSpan w:val="11"/>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jc w:val="center"/>
              <w:spacing w:after="0" w:line="194" w:lineRule="exact"/>
              <w:rPr>
                <w:rFonts w:ascii="Times New Roman" w:cs="Times New Roman" w:eastAsia="Times New Roman" w:hAnsi="Times New Roman"/>
                <w:sz w:val="18"/>
                <w:szCs w:val="18"/>
                <w:color w:val="0000EE"/>
                <w:w w:val="92"/>
              </w:rPr>
            </w:pPr>
            <w:hyperlink r:id="rId109">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6"/>
                <w:szCs w:val="16"/>
                <w:color w:val="auto"/>
              </w:rPr>
            </w:pPr>
          </w:p>
        </w:tc>
        <w:tc>
          <w:tcPr>
            <w:tcW w:w="900" w:type="dxa"/>
            <w:vAlign w:val="bottom"/>
            <w:gridSpan w:val="4"/>
          </w:tcPr>
          <w:p>
            <w:pPr>
              <w:jc w:val="center"/>
              <w:spacing w:after="0" w:line="194"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01/03/2025</w:t>
              </w:r>
            </w:hyperlink>
          </w:p>
        </w:tc>
        <w:tc>
          <w:tcPr>
            <w:tcW w:w="40" w:type="dxa"/>
            <w:vAlign w:val="bottom"/>
          </w:tcPr>
          <w:p>
            <w:pPr>
              <w:spacing w:after="0"/>
              <w:rPr>
                <w:sz w:val="16"/>
                <w:szCs w:val="16"/>
                <w:color w:val="auto"/>
              </w:rPr>
            </w:pPr>
          </w:p>
        </w:tc>
        <w:tc>
          <w:tcPr>
            <w:tcW w:w="880" w:type="dxa"/>
            <w:vAlign w:val="bottom"/>
            <w:gridSpan w:val="5"/>
          </w:tcPr>
          <w:p>
            <w:pPr>
              <w:jc w:val="right"/>
              <w:spacing w:after="0" w:line="194"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3"/>
          </w:tcPr>
          <w:p>
            <w:pPr>
              <w:spacing w:after="0"/>
              <w:rPr>
                <w:sz w:val="17"/>
                <w:szCs w:val="17"/>
                <w:color w:val="auto"/>
              </w:rPr>
            </w:pPr>
          </w:p>
        </w:tc>
        <w:tc>
          <w:tcPr>
            <w:tcW w:w="300" w:type="dxa"/>
            <w:vAlign w:val="bottom"/>
            <w:gridSpan w:val="2"/>
          </w:tcPr>
          <w:p>
            <w:pPr>
              <w:jc w:val="right"/>
              <w:spacing w:after="0" w:line="196" w:lineRule="exact"/>
              <w:rPr>
                <w:rFonts w:ascii="Times New Roman" w:cs="Times New Roman" w:eastAsia="Times New Roman" w:hAnsi="Times New Roman"/>
                <w:sz w:val="18"/>
                <w:szCs w:val="18"/>
                <w:color w:val="0000EE"/>
                <w:w w:val="88"/>
              </w:rPr>
            </w:pPr>
            <w:hyperlink r:id="rId11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19</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gridSpan w:val="10"/>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January 2025 Form of Common Warrant</w:t>
              </w:r>
            </w:hyperlink>
          </w:p>
        </w:tc>
        <w:tc>
          <w:tcPr>
            <w:tcW w:w="3120" w:type="dxa"/>
            <w:vAlign w:val="bottom"/>
            <w:gridSpan w:val="11"/>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center"/>
              <w:spacing w:after="0" w:line="196" w:lineRule="exact"/>
              <w:rPr>
                <w:rFonts w:ascii="Times New Roman" w:cs="Times New Roman" w:eastAsia="Times New Roman" w:hAnsi="Times New Roman"/>
                <w:sz w:val="18"/>
                <w:szCs w:val="18"/>
                <w:color w:val="0000EE"/>
                <w:w w:val="92"/>
              </w:rPr>
            </w:pPr>
            <w:hyperlink r:id="rId110">
              <w:r>
                <w:rPr>
                  <w:rFonts w:ascii="Times New Roman" w:cs="Times New Roman" w:eastAsia="Times New Roman" w:hAnsi="Times New Roman"/>
                  <w:sz w:val="18"/>
                  <w:szCs w:val="18"/>
                  <w:color w:val="0000EE"/>
                  <w:w w:val="92"/>
                </w:rPr>
                <w:t>8-K</w:t>
              </w:r>
            </w:hyperlink>
          </w:p>
        </w:tc>
        <w:tc>
          <w:tcPr>
            <w:tcW w:w="300" w:type="dxa"/>
            <w:vAlign w:val="bottom"/>
            <w:gridSpan w:val="3"/>
          </w:tcPr>
          <w:p>
            <w:pPr>
              <w:spacing w:after="0"/>
              <w:rPr>
                <w:sz w:val="17"/>
                <w:szCs w:val="17"/>
                <w:color w:val="auto"/>
              </w:rPr>
            </w:pPr>
          </w:p>
        </w:tc>
        <w:tc>
          <w:tcPr>
            <w:tcW w:w="900" w:type="dxa"/>
            <w:vAlign w:val="bottom"/>
            <w:gridSpan w:val="4"/>
          </w:tcPr>
          <w:p>
            <w:pPr>
              <w:jc w:val="cente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01/03/2025</w:t>
              </w:r>
            </w:hyperlink>
          </w:p>
        </w:tc>
        <w:tc>
          <w:tcPr>
            <w:tcW w:w="40" w:type="dxa"/>
            <w:vAlign w:val="bottom"/>
          </w:tcPr>
          <w:p>
            <w:pPr>
              <w:spacing w:after="0"/>
              <w:rPr>
                <w:sz w:val="17"/>
                <w:szCs w:val="17"/>
                <w:color w:val="auto"/>
              </w:rPr>
            </w:pPr>
          </w:p>
        </w:tc>
        <w:tc>
          <w:tcPr>
            <w:tcW w:w="880" w:type="dxa"/>
            <w:vAlign w:val="bottom"/>
            <w:gridSpan w:val="5"/>
          </w:tcPr>
          <w:p>
            <w:pPr>
              <w:jc w:val="right"/>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20" w:type="dxa"/>
            <w:vAlign w:val="bottom"/>
            <w:gridSpan w:val="3"/>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4.20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8% Convertible Debenture Due August 21, 2029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Form of Common Stock Purchase Warrant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4"/>
        </w:trPr>
        <w:tc>
          <w:tcPr>
            <w:tcW w:w="92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Opinion of Stradling Yocca Carlson &amp; Rauth LLP</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91"/>
              </w:rPr>
              <w:t>X</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20" w:type="dxa"/>
            <w:vAlign w:val="bottom"/>
            <w:gridSpan w:val="11"/>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Opinion of Stradling Yocca Carlson &amp; Rauth LLP</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1"/>
              </w:rPr>
              <w:t>X</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20" w:type="dxa"/>
            <w:vAlign w:val="bottom"/>
            <w:gridSpan w:val="11"/>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Consent of Stradling Yocca Carlson &amp; Rauth LLP (included in Exhibit 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Consent of M&amp;K CPAS PLLC, independent registered public accounting firm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w w:val="99"/>
              </w:rPr>
              <w:t>Power of Attorney (included on the signature page to the prospectus which forms part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of this registration statement)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Statement of Eligibility on Form T-1 under the Trust Indenture Act†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Extension Schema Document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Extension Calculation Linkbase Document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Extension Definition Linkbase Document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Extension Label Linkbase Document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Extension Presentation Linkbase Document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4"/>
        </w:trPr>
        <w:tc>
          <w:tcPr>
            <w:tcW w:w="92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0000EE"/>
              </w:rPr>
              <w:t>107.</w:t>
            </w:r>
            <w:r>
              <w:rPr>
                <w:rFonts w:ascii="Times New Roman" w:cs="Times New Roman" w:eastAsia="Times New Roman" w:hAnsi="Times New Roman"/>
                <w:sz w:val="18"/>
                <w:szCs w:val="18"/>
                <w:u w:val="single" w:color="auto"/>
                <w:color w:val="0000EE"/>
              </w:rPr>
              <w:t>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Filing Fee Table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w w:val="91"/>
              </w:rPr>
              <w:t>X</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securities.</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pursuant to Section 305(b)(2) of the U.S. Trust Indenture Act of 1939, as applicable.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44"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85" w:lineRule="exact"/>
        <w:rPr>
          <w:sz w:val="20"/>
          <w:szCs w:val="20"/>
          <w:color w:val="auto"/>
        </w:rPr>
      </w:pPr>
    </w:p>
    <w:p>
      <w:pPr>
        <w:ind w:left="860" w:hanging="528"/>
        <w:spacing w:after="0"/>
        <w:tabs>
          <w:tab w:leader="none" w:pos="8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98" w:lineRule="exact"/>
        <w:rPr>
          <w:sz w:val="20"/>
          <w:szCs w:val="20"/>
          <w:color w:val="auto"/>
        </w:rPr>
      </w:pPr>
    </w:p>
    <w:p>
      <w:pPr>
        <w:jc w:val="both"/>
        <w:ind w:firstLine="332"/>
        <w:spacing w:after="0" w:line="256" w:lineRule="auto"/>
        <w:tabs>
          <w:tab w:leader="none" w:pos="6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6" w:lineRule="exact"/>
        <w:rPr>
          <w:rFonts w:ascii="Times New Roman" w:cs="Times New Roman" w:eastAsia="Times New Roman" w:hAnsi="Times New Roman"/>
          <w:sz w:val="18"/>
          <w:szCs w:val="18"/>
          <w:color w:val="auto"/>
        </w:rPr>
      </w:pPr>
    </w:p>
    <w:p>
      <w:pPr>
        <w:ind w:firstLine="656"/>
        <w:spacing w:after="0" w:line="282" w:lineRule="auto"/>
        <w:tabs>
          <w:tab w:leader="none" w:pos="9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(ii) and (iii)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SEC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55" w:lineRule="exact"/>
        <w:rPr>
          <w:sz w:val="20"/>
          <w:szCs w:val="20"/>
          <w:color w:val="auto"/>
        </w:rPr>
      </w:pPr>
    </w:p>
    <w:p>
      <w:pPr>
        <w:jc w:val="both"/>
        <w:ind w:firstLine="332"/>
        <w:spacing w:after="0" w:line="266" w:lineRule="auto"/>
        <w:tabs>
          <w:tab w:leader="none" w:pos="9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8"/>
          <w:szCs w:val="18"/>
          <w:color w:val="auto"/>
        </w:rPr>
      </w:pPr>
    </w:p>
    <w:p>
      <w:pPr>
        <w:ind w:right="20" w:firstLine="332"/>
        <w:spacing w:after="0" w:line="282" w:lineRule="auto"/>
        <w:tabs>
          <w:tab w:leader="none" w:pos="10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1"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98" w:lineRule="exact"/>
        <w:rPr>
          <w:rFonts w:ascii="Times New Roman" w:cs="Times New Roman" w:eastAsia="Times New Roman" w:hAnsi="Times New Roman"/>
          <w:sz w:val="18"/>
          <w:szCs w:val="18"/>
          <w:color w:val="auto"/>
        </w:rPr>
      </w:pPr>
    </w:p>
    <w:p>
      <w:pPr>
        <w:ind w:firstLine="656"/>
        <w:spacing w:after="0" w:line="282" w:lineRule="auto"/>
        <w:tabs>
          <w:tab w:leader="none" w:pos="8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5" w:name="page66"/>
    <w:bookmarkEnd w:id="65"/>
    <w:p>
      <w:pPr>
        <w:jc w:val="both"/>
        <w:ind w:firstLine="332"/>
        <w:spacing w:after="0" w:line="258" w:lineRule="auto"/>
        <w:tabs>
          <w:tab w:leader="none" w:pos="8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84" w:lineRule="exact"/>
        <w:rPr>
          <w:rFonts w:ascii="Times New Roman" w:cs="Times New Roman" w:eastAsia="Times New Roman" w:hAnsi="Times New Roman"/>
          <w:sz w:val="18"/>
          <w:szCs w:val="18"/>
          <w:color w:val="auto"/>
        </w:rPr>
      </w:pPr>
    </w:p>
    <w:p>
      <w:pPr>
        <w:ind w:right="20" w:firstLine="656"/>
        <w:spacing w:after="0" w:line="282" w:lineRule="auto"/>
        <w:tabs>
          <w:tab w:leader="none" w:pos="94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34"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84" w:lineRule="exact"/>
        <w:rPr>
          <w:rFonts w:ascii="Times New Roman" w:cs="Times New Roman" w:eastAsia="Times New Roman" w:hAnsi="Times New Roman"/>
          <w:sz w:val="18"/>
          <w:szCs w:val="18"/>
          <w:color w:val="auto"/>
        </w:rPr>
      </w:pPr>
    </w:p>
    <w:p>
      <w:pPr>
        <w:jc w:val="both"/>
        <w:ind w:firstLine="332"/>
        <w:spacing w:after="0" w:line="261" w:lineRule="auto"/>
        <w:tabs>
          <w:tab w:leader="none" w:pos="8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purposes of determining any liability under the Securities Act, each filing of the annual reports of the Registrant pursuant to Section 13(a) or Section 15(d) of the Exchange Act (and, where applicable, each filing of an employee benefit plan’s annual report pursuant to Section 15(d) of the Exchange Act) that are incorporated by reference in this registration statement, if any,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39" w:lineRule="exact"/>
        <w:rPr>
          <w:rFonts w:ascii="Times New Roman" w:cs="Times New Roman" w:eastAsia="Times New Roman" w:hAnsi="Times New Roman"/>
          <w:sz w:val="18"/>
          <w:szCs w:val="18"/>
          <w:color w:val="auto"/>
        </w:rPr>
      </w:pPr>
    </w:p>
    <w:p>
      <w:pPr>
        <w:ind w:firstLine="332"/>
        <w:spacing w:after="0" w:line="282" w:lineRule="auto"/>
        <w:tabs>
          <w:tab w:leader="none" w:pos="8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 section (a) of section 310 of the Trust Indenture Act (“Act”) in accordance with the rules and regulations prescribed by the SEC under section 305(b)(2) of the Act; and</w:t>
      </w:r>
    </w:p>
    <w:p>
      <w:pPr>
        <w:spacing w:after="0" w:line="134" w:lineRule="exact"/>
        <w:rPr>
          <w:rFonts w:ascii="Times New Roman" w:cs="Times New Roman" w:eastAsia="Times New Roman" w:hAnsi="Times New Roman"/>
          <w:sz w:val="18"/>
          <w:szCs w:val="18"/>
          <w:color w:val="auto"/>
        </w:rPr>
      </w:pPr>
    </w:p>
    <w:p>
      <w:pPr>
        <w:jc w:val="both"/>
        <w:ind w:firstLine="332"/>
        <w:spacing w:after="0" w:line="254" w:lineRule="auto"/>
        <w:tabs>
          <w:tab w:leader="none" w:pos="8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Redmond, State of Oregon, on October 23,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Sellers</w:t>
            </w:r>
          </w:p>
        </w:tc>
      </w:tr>
      <w:tr>
        <w:trPr>
          <w:trHeight w:val="191"/>
        </w:trPr>
        <w:tc>
          <w:tcPr>
            <w:tcW w:w="920" w:type="dxa"/>
            <w:vAlign w:val="bottom"/>
          </w:tcPr>
          <w:p>
            <w:pPr>
              <w:spacing w:after="0"/>
              <w:rPr>
                <w:sz w:val="16"/>
                <w:szCs w:val="16"/>
                <w:color w:val="auto"/>
              </w:rPr>
            </w:pPr>
          </w:p>
        </w:tc>
        <w:tc>
          <w:tcPr>
            <w:tcW w:w="10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Sellers</w:t>
            </w:r>
          </w:p>
        </w:tc>
      </w:tr>
      <w:tr>
        <w:trPr>
          <w:trHeight w:val="214"/>
        </w:trPr>
        <w:tc>
          <w:tcPr>
            <w:tcW w:w="9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6"/>
        </w:trPr>
        <w:tc>
          <w:tcPr>
            <w:tcW w:w="9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Kevin Sellers and Robert Winspear, and each of them singly (with full power to each of them to act alone), as his or her true and lawful agent, proxy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7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Kevin Sellers</w:t>
            </w:r>
          </w:p>
        </w:tc>
        <w:tc>
          <w:tcPr>
            <w:tcW w:w="120" w:type="dxa"/>
            <w:vAlign w:val="bottom"/>
          </w:tcPr>
          <w:p>
            <w:pPr>
              <w:spacing w:after="0"/>
              <w:rPr>
                <w:sz w:val="24"/>
                <w:szCs w:val="24"/>
                <w:color w:val="auto"/>
              </w:rPr>
            </w:pPr>
          </w:p>
        </w:tc>
        <w:tc>
          <w:tcPr>
            <w:tcW w:w="7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Kevin Sellers</w:t>
            </w:r>
          </w:p>
        </w:tc>
        <w:tc>
          <w:tcPr>
            <w:tcW w:w="120" w:type="dxa"/>
            <w:vAlign w:val="bottom"/>
          </w:tcPr>
          <w:p>
            <w:pPr>
              <w:spacing w:after="0"/>
              <w:rPr>
                <w:sz w:val="19"/>
                <w:szCs w:val="19"/>
                <w:color w:val="auto"/>
              </w:rPr>
            </w:pPr>
          </w:p>
        </w:tc>
        <w:tc>
          <w:tcPr>
            <w:tcW w:w="7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90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Winspear</w:t>
            </w:r>
          </w:p>
        </w:tc>
        <w:tc>
          <w:tcPr>
            <w:tcW w:w="120" w:type="dxa"/>
            <w:vAlign w:val="bottom"/>
          </w:tcPr>
          <w:p>
            <w:pPr>
              <w:spacing w:after="0"/>
              <w:rPr>
                <w:sz w:val="24"/>
                <w:szCs w:val="24"/>
                <w:color w:val="auto"/>
              </w:rPr>
            </w:pPr>
          </w:p>
        </w:tc>
        <w:tc>
          <w:tcPr>
            <w:tcW w:w="7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 Secretary and Treasurer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Winspear</w:t>
            </w:r>
          </w:p>
        </w:tc>
        <w:tc>
          <w:tcPr>
            <w:tcW w:w="120" w:type="dxa"/>
            <w:vAlign w:val="bottom"/>
          </w:tcPr>
          <w:p>
            <w:pPr>
              <w:spacing w:after="0"/>
              <w:rPr>
                <w:sz w:val="19"/>
                <w:szCs w:val="19"/>
                <w:color w:val="auto"/>
              </w:rPr>
            </w:pPr>
          </w:p>
        </w:tc>
        <w:tc>
          <w:tcPr>
            <w:tcW w:w="7180" w:type="dxa"/>
            <w:vAlign w:val="bottom"/>
            <w:gridSpan w:val="2"/>
          </w:tcPr>
          <w:p>
            <w:pPr>
              <w:ind w:left="12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90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Burell</w:t>
            </w:r>
          </w:p>
        </w:tc>
        <w:tc>
          <w:tcPr>
            <w:tcW w:w="120" w:type="dxa"/>
            <w:vAlign w:val="bottom"/>
          </w:tcPr>
          <w:p>
            <w:pPr>
              <w:spacing w:after="0"/>
              <w:rPr>
                <w:sz w:val="24"/>
                <w:szCs w:val="24"/>
                <w:color w:val="auto"/>
              </w:rPr>
            </w:pPr>
          </w:p>
        </w:tc>
        <w:tc>
          <w:tcPr>
            <w:tcW w:w="7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 and Chairman of the Board of Directors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Burell</w:t>
            </w:r>
          </w:p>
        </w:tc>
        <w:tc>
          <w:tcPr>
            <w:tcW w:w="1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W. Jarvis</w:t>
            </w:r>
          </w:p>
        </w:tc>
        <w:tc>
          <w:tcPr>
            <w:tcW w:w="120" w:type="dxa"/>
            <w:vAlign w:val="bottom"/>
          </w:tcPr>
          <w:p>
            <w:pPr>
              <w:spacing w:after="0"/>
              <w:rPr>
                <w:sz w:val="24"/>
                <w:szCs w:val="24"/>
                <w:color w:val="auto"/>
              </w:rPr>
            </w:pPr>
          </w:p>
        </w:tc>
        <w:tc>
          <w:tcPr>
            <w:tcW w:w="7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 W. Jarvis</w:t>
            </w:r>
          </w:p>
        </w:tc>
        <w:tc>
          <w:tcPr>
            <w:tcW w:w="1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George Lefevre</w:t>
            </w:r>
          </w:p>
        </w:tc>
        <w:tc>
          <w:tcPr>
            <w:tcW w:w="120" w:type="dxa"/>
            <w:vAlign w:val="bottom"/>
          </w:tcPr>
          <w:p>
            <w:pPr>
              <w:spacing w:after="0"/>
              <w:rPr>
                <w:sz w:val="24"/>
                <w:szCs w:val="24"/>
                <w:color w:val="auto"/>
              </w:rPr>
            </w:pPr>
          </w:p>
        </w:tc>
        <w:tc>
          <w:tcPr>
            <w:tcW w:w="7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Lefevre</w:t>
            </w:r>
          </w:p>
        </w:tc>
        <w:tc>
          <w:tcPr>
            <w:tcW w:w="1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 Shum</w:t>
            </w:r>
          </w:p>
        </w:tc>
        <w:tc>
          <w:tcPr>
            <w:tcW w:w="120" w:type="dxa"/>
            <w:vAlign w:val="bottom"/>
          </w:tcPr>
          <w:p>
            <w:pPr>
              <w:spacing w:after="0"/>
              <w:rPr>
                <w:sz w:val="24"/>
                <w:szCs w:val="24"/>
                <w:color w:val="auto"/>
              </w:rPr>
            </w:pPr>
          </w:p>
        </w:tc>
        <w:tc>
          <w:tcPr>
            <w:tcW w:w="7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23, 2026</w:t>
            </w:r>
          </w:p>
        </w:tc>
      </w:tr>
      <w:tr>
        <w:trPr>
          <w:trHeight w:val="228"/>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M. Shum</w:t>
            </w:r>
          </w:p>
        </w:tc>
        <w:tc>
          <w:tcPr>
            <w:tcW w:w="1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542"/>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color w:val="auto"/>
              </w:rPr>
              <w:t>II-6</w:t>
            </w: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0" w:right="339" w:bottom="1440" w:gutter="0" w:footer="0" w:header="0"/>
        </w:sectPr>
      </w:pPr>
    </w:p>
    <w:bookmarkStart w:id="67" w:name="page68"/>
    <w:bookmarkEnd w:id="67"/>
    <w:p>
      <w:pPr>
        <w:ind w:left="10360"/>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Park Avenue,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Expion Energy,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confirms its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H.C. Wainwright &amp; Co., LLC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as follows: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to issue and sell through or to Agent, as its exclusive sales agent or principal,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“Placement Shares”</w:t>
      </w:r>
      <w:r>
        <w:rPr>
          <w:rFonts w:ascii="Times New Roman" w:cs="Times New Roman" w:eastAsia="Times New Roman" w:hAnsi="Times New Roman"/>
          <w:sz w:val="18"/>
          <w:szCs w:val="18"/>
          <w:color w:val="auto"/>
        </w:rPr>
        <w:t xml:space="preserve">)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from time to time during the term of this Agreement and on the terms set forth in this Agreement; provided, however, that in no event will the Company issue or sell through or to Agent such number of Placement Shares that (a) exceeds the number of shares or dollar amount of Common Stock registered on the effective Registration Statement (as defined below) pursuant to which the offering is being made, (b) exceeds the number of shares or dollar amount referenced on the Prospectus Supplement (as defined below), (c) exceeds the dollar amount of shares of Common Stock permitted to be sold by the Company under Form S-3, including General Instruction I.B.6 of Form S-3 (if and for so long as applicable) (the lesser of (a), (b) or (c), the </w:t>
      </w:r>
      <w:r>
        <w:rPr>
          <w:rFonts w:ascii="Times New Roman" w:cs="Times New Roman" w:eastAsia="Times New Roman" w:hAnsi="Times New Roman"/>
          <w:sz w:val="18"/>
          <w:szCs w:val="18"/>
          <w:b w:val="1"/>
          <w:bCs w:val="1"/>
          <w:i w:val="1"/>
          <w:iCs w:val="1"/>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Section 1 on the amount of Placement Shares issued and sold under this Agreement will be the sole responsibility of the Company and that Agent will have no obligation in connection with such compliance, provided that Agent follows the lawful trading instructions provided by the Company pursuant to any Placement Notice in all material respects. The issuance and sale of Placement Shares through Agent will be effected pursuant to the Registration Statement filed by the Company and declared effective by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although nothing in this Agreement will be construed as requiring the Company to use the Registration Statement to issue Common Stock. Certain capitalized terms used in this Agreement have the meanings ascribed to them in Section 25.</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filed with the SEC, in accordance with the provisions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and the rules and regulations thereunder (the </w:t>
      </w:r>
      <w:r>
        <w:rPr>
          <w:rFonts w:ascii="Times New Roman" w:cs="Times New Roman" w:eastAsia="Times New Roman" w:hAnsi="Times New Roman"/>
          <w:sz w:val="18"/>
          <w:szCs w:val="18"/>
          <w:b w:val="1"/>
          <w:bCs w:val="1"/>
          <w:i w:val="1"/>
          <w:iCs w:val="1"/>
          <w:color w:val="auto"/>
        </w:rPr>
        <w:t>“Securities Act Regulations”</w:t>
      </w:r>
      <w:r>
        <w:rPr>
          <w:rFonts w:ascii="Times New Roman" w:cs="Times New Roman" w:eastAsia="Times New Roman" w:hAnsi="Times New Roman"/>
          <w:sz w:val="18"/>
          <w:szCs w:val="18"/>
          <w:color w:val="auto"/>
        </w:rPr>
        <w:t xml:space="preserve">), a shelf registration statement on Form S-3 registering $50,000,000 of securities of the Company to be filed on or about the date hereof,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the rules and regulations thereunder, and includes in such shelf registration statement a prospectus supplement specifically relating to the Placement Shares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xml:space="preserve">) to the base prospectus included as part of the registration statement. The Company will furnish to Agent, for use by it, copies of the base prospectus included as part of the registration statement, as supplemented by the Prospectus Supplement, relating to the Placement Shares. Except when the context otherwise requires, such registration statement, and any post-effective amendment thereto, as amended when it became effective, including all documents filed as part thereof or incorporated by reference therein, and including any information contained in a Prospectus (as defined below) subsequently filed with the SEC pursuant to Rule 424(b) under the Securities Act Regulations or deemed to be a part of the registration statement pursuant to Rule 430B or 462(b) of the Securities Act Regulations, or any subsequent registration on Form S-3 filed pursuant to Rule 415(a)(6) under the Securities Act by the Company with respect to the Placement Shares, is herein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The base prospectus, including all documents incorporated therein by reference, included in the Registration Statement, as it may be supplemented by the Prospectus Supplement, in the form in which the prospectus and/or Prospectus Supplement have most recently been filed by the Company with the SEC pursuant to Rule 424(b) under the Securities Act Regulations, together with any “issuer free writing prospectus” as defined in Rule 433 under the Securities Act (</w:t>
      </w:r>
      <w:r>
        <w:rPr>
          <w:rFonts w:ascii="Times New Roman" w:cs="Times New Roman" w:eastAsia="Times New Roman" w:hAnsi="Times New Roman"/>
          <w:sz w:val="18"/>
          <w:szCs w:val="18"/>
          <w:b w:val="1"/>
          <w:bCs w:val="1"/>
          <w:i w:val="1"/>
          <w:iCs w:val="1"/>
          <w:color w:val="auto"/>
        </w:rPr>
        <w:t>“Rule 433”</w:t>
      </w:r>
      <w:r>
        <w:rPr>
          <w:rFonts w:ascii="Times New Roman" w:cs="Times New Roman" w:eastAsia="Times New Roman" w:hAnsi="Times New Roman"/>
          <w:sz w:val="18"/>
          <w:szCs w:val="18"/>
          <w:color w:val="auto"/>
        </w:rPr>
        <w:t xml:space="preserve">), that (i) is a Permitted Free Writing Prospectus (as defined below), (ii) is required to be filed by the SEC, or (iii) is exempt from filing pursuant to Rule 433(d)(5)(i), in each case in the form filed or required to be filed with the SEC, or if not required to be filed, in the form retained in the Company’s records pursuant to Rule 433(g), is herein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Any reference herein to the Registration Statement, the Prospectus, or any amendment or supplement thereto will be deemed to refer to and include the documents incorporated by reference therein, and any reference herein to the terms “amend,” “amendment,” or “supplement” respecting the Registration Statement or the Prospectus will be deemed to refer to and include the filing after the execution hereof of any document with the SEC deemed to be incorporated by reference therein (the </w:t>
      </w:r>
      <w:r>
        <w:rPr>
          <w:rFonts w:ascii="Times New Roman" w:cs="Times New Roman" w:eastAsia="Times New Roman" w:hAnsi="Times New Roman"/>
          <w:sz w:val="18"/>
          <w:szCs w:val="18"/>
          <w:b w:val="1"/>
          <w:bCs w:val="1"/>
          <w:i w:val="1"/>
          <w:iCs w:val="1"/>
          <w:color w:val="auto"/>
        </w:rPr>
        <w:t>“Incorporated Documents”</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Agreement, all references to the Registration Statement, the Prospectus, or to any amendment or supplement thereto will be deemed to include the most recent copy filed with the SEC pursuant to its Electronic Data Gathering Analysis and Retrieval System, or if applicable, the Interactive Data Electronic Application system when used by the SEC (collectively,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it will notify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by email notice (or other method mutually agreed to in writing by the parties) of the number of Placement Shares to be issued, the period during which sales are requested to be made, any limitation on the number of Placement Shares that may be sold in any one (1) Trading Day (as defined below), and any minimum price below which sales may not be made (a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the form of which is attached hereto as Schedule 1. The Placement Notice will originate from any of the individuals from the Company set forth on Schedule 3 (with a copy to each of the other individuals from the Company listed on the schedule) and will be addressed to each of the individuals from Agent set forth on Schedule 3, as Schedule 3 may be amended from time to time. The Placement Notice will be effective unless and until: (a) Agent declines to accept the terms contained therein for any reason, in its sole discretion, by notice to the Company within two (2) Business Days after the receipt of such Placement Notice; (b) the entire amount of the Placement Shares thereunder have been sold; (c) the Company suspends or terminates the Placement Notice; (d) the Company issues a subsequent Placement Notice with parameters suspending those on the earlier dated Placement Notice; or (e) the Agreement has been terminated under the provisions of Section 13. The amount of any discount, commission, or other compensation to be paid by the Company to Agent in connection with the sale of the Placement Shares will be calculated in accordance with the terms set forth in Schedule 2. Neither the Company nor Agent will have any obligation whatsoever respecting a Placement or any Placement Shares unless and until the Company delivers a Placement Notice to Agent and Agent does not decline such Placement Notice pursuant to the terms set forth above, and then only upon the terms specified therein and herein. In the event of a conflict between the terms of Section 2, Section 3, and Section 4 of this Agreement and the terms of a Placement Notice, the terms of the Placement Notice will control, provided that no Placement Notice may reduce Agent’s compensation terms set forth in Schedule 2 or impose additional obligations on Agent beyond those contemplated in Section 2, Section 3, and Section 4.</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u w:val="single" w:color="auto"/>
          <w:color w:val="auto"/>
        </w:rPr>
        <w:t>Sale of Placement Shares by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Agreement, Agent, for the period specified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Placement Notice,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to sell the Placement Shares up to the amount specified, and otherwise in accordance with the terms of such Placement Notice. Agent will provide written confirmation to the Company no later than the opening of the Trading Day immediately following the Trading Day on which it has sold Placement Shares hereunder, setting forth the number of Placement Shares sold on such day, the compensation payable by the Company to Agent pursuant to Section 2 for such sales, and the Net Proceeds (as defined below) payable to the Company. Subject to the terms of the Placement Notice, Agent may sell Placement Shares by any method permitted by law deemed to be an “at the market” offering as defined in Rule 415(a)(4) of the Securities Act Regulations, including sales made directly on the Exchange or on any other existing trading market or directly to Agent as principal in negotiated transactions for the Common Stock or to or through a market maker and/or any other method permitted by law. Subject to the terms of a Placement Notice, Agent may also sell Placement Shares by any other method permitted by law, including in privately negotiated transactions, with the Company’s consent.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any day on which Common Stock is purchased and sold on the principal market on which the Common Stock is listed or quoted.</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The Company or Agent may, upon notice to the other party in writing (including by email correspondence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individuals of the other party set forth on Schedule 3, if receipt of such correspondence is actually acknowledged by any of the individuals to whom the notice is sent, other than via auto-reply) or by telephone (confirmed immediately by verifiable email correspondence to each of the individuals of the other party set forth on Schedule 3), suspend any sale of Placement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suspension will not affect or impair any party’s obligations respecting any Placement Shares sold hereunder prior to the receipt of such notice. While a suspension is in effect, any obligation under Section 7(l), Section 7(m), and Section 7(n) with respect to delivery of certificates, opinions and comfort letters to Agent shall be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upon termination of such suspension and resumption of sales, the Company shall deliver updated certificates, opinions, and comfort letters as required under Section 7(l), Section 7(m), and Section 7(n) before any further sales may occur.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will be effective against any other party unless it is made to one of the individuals named on Schedule 3 hereto, as such schedule may be amended from time to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u w:val="single" w:color="auto"/>
          <w:color w:val="auto"/>
        </w:rPr>
        <w:t>Sale and Delivery to Agent; Settlement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upon Agent’s acceptance of the terms of a Placement Notice, and unless the sale of the Placement Shares described therein has been declined, suspended, or otherwise terminated in accordance with the terms of this Agreement,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and otherwise in accordance with the terms of such Placement Notice. The Company acknowledges and agrees that: (i) there can be no assurance that Agent will be successful in selling Placement Shares; (ii) Agent will incur no liability or obligation to the Company or any other Person (as defined herein) if it does not sell Placement Shares for any reason other than a failure by Agent to use its commercially reasonable efforts consistent with its normal trading and sales practices to sell such Placement Shares as required under this Agreement; and (iii) Agent will be under no obligation to purchase Placement Shares on a principal basis pursuant to this Agreement, except as otherwise agreed by Agent and the Company.</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first (1st) Trading Day (or any such shorter settlement cycle as may be in effect pursuant to Rule 15c6-1 under the Exchange Act from time to time) following the date on which such sales are made (each, a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xml:space="preserve">). Agent shall notify the Company of each sale of Placement Shares no later than the opening of the Trading Day immediately following the Trading Day on which Agent sold Placement Shares.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will be equal to the aggregate sales price received by Agent, after deduction for: (i) Agent’s commission, discount, or other compensation for such sales payable by the Company pursuant to Section 2 hereof, and (ii) any transaction fees imposed by any governmental or self-regulatory organization or clearing firm or execution broker for such sales.</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or will cause its transfer agent to, electronically transfer the Placement Shares being sold by crediting Agent’s or its designee’s account (provided Agent will have given the Company written notice of such designee at least one (1) Business Day prior to the Settlement Date) at The Depository Trust Company through its Deposit and Withdrawal at Custodian System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will be freely tradable, transferable, registered shares in good deliverable form. On each Settlement Date, Agent will deliver the related Net Proceeds in same-day funds to an account designated by the Company on, or prior to, the Settlement Date. Agent shall be responsible for providing DWAC instructions or instructions for delivery by other means with regard to the transfer of the Placement Agent being sold. The Company agrees that if the Company, or its transfer agent (if applicable), defaults in its obligation to deliver duly authorized Placement Shares on a Settlement Date, other than solely as the result of fault of Agent, that in addition to and in no way limiting the rights and obligations set forth in Section 11(a) hereto, it will: (i) hold Agent harmless against any loss, claim, damage, or reasonable and documented expense (including reasonable and documented legal fees and expenses), as incurred, arising out of or in connection with such default by the Company or its transfer agent (if applicable); and (ii) pay to Agent (without duplication) any commission, discount, or other compensation to which it would otherwise have been entitled absent such default.</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will the Company cause or request the offer or sale of any Placement Shares if, after giving effect to the sale of such Placement Shares, the aggregate gross sales proceeds of Placement Shares sold pursuant to this Agreement would exceed the lesser of: (i) together with all sales of Placement Shares under this Agreement, the Maximum Amount; or (ii) the amount authorized from time to time to be issued and sold under this Agreement by the Company’s board of directors, a duly authorized committee thereof, or a duly authorized executive committee, and notified to Agent in writing. Under no circumstances will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Agent in writing.</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Agent that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as of each Applicable Time (as defined below) and each Settlement Date, unless such representation, warranty or agreement specifies a different date or time:</w:t>
      </w:r>
    </w:p>
    <w:p>
      <w:pPr>
        <w:spacing w:after="0" w:line="175" w:lineRule="exact"/>
        <w:rPr>
          <w:sz w:val="20"/>
          <w:szCs w:val="20"/>
          <w:color w:val="auto"/>
        </w:rPr>
      </w:pPr>
    </w:p>
    <w:p>
      <w:pPr>
        <w:jc w:val="both"/>
        <w:ind w:firstLine="1304"/>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assuming no act or omission on the part of Agent that would make such statement untrue, the transactions contemplated by this Agreement meet the requirements for and comply with the conditions for the use of Form S-3 under the Securities Act. The Registration Statement has been filed with the SEC and has been declared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18"/>
          <w:szCs w:val="18"/>
          <w:color w:val="auto"/>
        </w:rPr>
        <w:t>effective under the Securities Act. The Prospectus Supplement will name Agent as the agent in the section entitled “Plan of Distribution.” The Company has not received, and has no notice of, any order of the SEC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or will be so described or filed. Copies of the Registration Statement, the Prospectus, and any such amendments or supplements and all documents incorporated by reference therein that were filed with the SEC on or prior to the date of this Agreement have been delivered, or are available through EDGAR, to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Agent has consented in writing in advance, which consent shall not be unreasonably withheld or delayed. The Common Stock is currently listed on the Exchange under the trading symbol “XPON.” Except as disclosed in the Registration Statement, including the Incorporated Documents, the Company has not received notice from the Exchange to the effect that the Company is not in compliance with the Exchange’s listing or maintenance requirements. Except as disclosed in the Registration Statement, including the Incorporated Documents, or the Prospectus, and subject to fluctuations in the Company’s stock price and revisions to the rules of the Exchange, the Company has no reason to believe that it will not in the foreseeable future continue to be in compliance with all such listing and maintenance requirements.</w:t>
      </w:r>
    </w:p>
    <w:p>
      <w:pPr>
        <w:spacing w:after="0" w:line="196" w:lineRule="exact"/>
        <w:rPr>
          <w:sz w:val="20"/>
          <w:szCs w:val="20"/>
          <w:color w:val="auto"/>
        </w:rPr>
      </w:pPr>
    </w:p>
    <w:p>
      <w:pPr>
        <w:jc w:val="both"/>
        <w:ind w:firstLine="1304"/>
        <w:spacing w:after="0" w:line="252" w:lineRule="auto"/>
        <w:tabs>
          <w:tab w:leader="none" w:pos="15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Applicable Time and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and each Settlement Date,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will not apply to statements in, or omissions from, any such document made in reliance upon, and in conformity with, written information furnished to the Company by Agent specifically for use in the preparation thereof, which information is limited to the sentence set forth under the subheader “Regulation M” in the section of the Prospectus Supplement entitled “Plan of Distribution.” No stop order suspending the effectiveness of the Registration Statement or any post-effective amendment thereto has been issued, and no proceeding for that purpose or pursuant to Section 8A of the Securities Act has been initiated or threatened by the SEC.</w:t>
      </w:r>
    </w:p>
    <w:p>
      <w:pPr>
        <w:spacing w:after="0" w:line="19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SEC under the Securities Act or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t>Exchange Act or became or become effective under the Securities Act, as the case may be, conformed or will conform in all material respects with the requirements of the Securities Act and the Exchange Act, as applicable.</w:t>
      </w:r>
    </w:p>
    <w:p>
      <w:pPr>
        <w:spacing w:after="0" w:line="162" w:lineRule="exact"/>
        <w:rPr>
          <w:sz w:val="20"/>
          <w:szCs w:val="20"/>
          <w:color w:val="auto"/>
        </w:rPr>
      </w:pPr>
    </w:p>
    <w:p>
      <w:pPr>
        <w:jc w:val="both"/>
        <w:ind w:firstLine="1304"/>
        <w:spacing w:after="0" w:line="252" w:lineRule="auto"/>
        <w:tabs>
          <w:tab w:leader="none" w:pos="16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consolidated financial statements of the Company included or incorporated by reference in the Registration Statement, the Prospectus, and the Issuer Free Writing Prospectuses, if any, together with the related notes and schedules, complied as to form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consolidated financial position of the Company and the Subsidiaries as of the dates indicated and the consolidated results of operations and cash flows of the Company for the periods specified (subject, in the case of unaudited statements, to normal year-end audit adjustments that will not be material, either individually or in the aggregate); the other financial and statistical data respecting the Company and the Subsidiaries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(including the exhibits thereto) and the Prospectus that are required to be described in the Registration Statement or the Prospectus (including exhibits thereto and Incorporated Documents); and all disclosures contained or incorporated by reference in the Registration Statement, the Prospectus, and the Issuer Free Writing Prospectuses, if any, regarding “non-GAAP financial measures” (as such term is defined by the rules and regulations of the SEC) comply in all material respects with Regulation G of the Exchange Act and Item 10 of Regulation S-K under the Securities Act, to the extent applicable.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The Prospectus delivered to Agent for use in connection with the sale of the Placement Shares pursuant to this Agreement will be identical to the versions of the Prospectus created to be transmitted to the SEC for filing via EDGAR, except to the extent permitted by Regulation S-T.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xml:space="preserve">. The Company and each of its Subsidiaries are, and will be, duly organized, validly existing as a corporation, limited partnership, limited liability company, or other legal entity, and in good standing under the laws of their respective jurisdictions of organization. The Company and each of its Subsidiaries are, and will be, duly qualified as a foreign corporation for transaction of business and in good standing under the laws of each other jurisdiction in which their respective ownership or lease of property or the conduct of their respective businesses requires such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and the Subsidiaries (as defined below) taken as a whole, or prevent or materially interfere with consummation of the transactions contemplated hereby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both"/>
        <w:ind w:firstLine="1304"/>
        <w:spacing w:after="0" w:line="262" w:lineRule="auto"/>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subsidiaries set forth in the Incorporated Documents and on Schedule 4 (collectively,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are the Company’s only subsidiaries. Except as set forth in the Prospectus, the Company owns, directly or indirectly, all of the equity interests of the Subsidiaries free and clear of any material lien, charge, security interest, encumbrance, right of first refusal, or other restriction, and all the equity interests of the Subsidiaries are validly issued and are fully paid, nonassessable, and free of preemptive and similar rights.</w:t>
      </w:r>
    </w:p>
    <w:p>
      <w:pPr>
        <w:spacing w:after="0" w:line="180"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of its Subsidiaries is a party, by which the Company or any of its Subsidiaries is bound, or to which any of the property or assets of the Company or any of its Subsidiaries are subject; or (iii) in violation of any law or statute or any judgment, order, rule, or regulation of any court,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respective dates as of which information is given in the Registration Statement, the Prospectus, and the Free Writing Prospectuses, if any (including any document deemed incorporated by reference therein), there has not been: (i) any Material Adverse Effect, or the occurrence of any development that is reasonably likely to result in a prospective Material Adverse Effect, in or affecting the business, properties, management, financial, condition (financial or otherwise), results of operations, or prospects of the Company and the Subsidiaries taken as a whole; (ii) any transaction that is material to the Company and the Subsidiaries taken as a whole; (iii) any obligation or liability, direct or contingent (including any off-balance sheet obligations), incurred by the Company or any Subsidiary, that is material to the Company and the Subsidiaries taken as a whole; (iv) any material change in the capital stock (other than (A) the grant of awards under equity incentive plans, (B) changes in the number of shares of outstanding Common Stock due to exercise or conversion of securities exercisable for or convertible into Common Stock outstanding as of the date of this Agreement, (C) any repurchase of capital stock of the Company, or (D) as a result of the sale of Placement Shares)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issued and outstanding shares of capital stock of the Company have been validly issued, are fully paid, and nonassessable. The Company has an authorized, issued, and outstanding capitalization as set forth in the Registration Statement and the Prospectus as of the dates referred to therein (other than (i) the grant of additional equity awards under the Company’s then existing stock plans, (ii) changes in the number of outstanding shares of Common Stock of the Company due to the issuance of shares upon the exercise or conversion of securities exercisable for, or convertible into, Common Stock outstanding on the date hereof, or (iii) as a result of the issuance of Placement Shares pursuant to this Agreement), and such authorized capital stock conforms in all material respects to the description thereof set forth in the Registration Statement and the Prospectus. The description of the Common Stock in the Registration Statement and the Prospectus is complete and accurate in all material respects. Except as disclosed in or contemplated by the Registration Statement or the Prospectus, as of the date referred to therein, the Company did not have reserved or available for issuance any shares of Common Stock in respect of options, any rights or warrants to subscribe for, any securities or obligations convertible into or exchangeable for, or any contracts or commitments to issue or sell, any shares of capital stock or other securities.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jc w:val="both"/>
        <w:ind w:firstLine="1304"/>
        <w:spacing w:after="0" w:line="256" w:lineRule="auto"/>
        <w:tabs>
          <w:tab w:leader="none" w:pos="15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11 hereof may be limited by federal or state securities laws and public policy considerations in respect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authorized, validly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any governmental or regulatory authority having jurisdiction over the Company is required for the execution, delivery, and performance by the Company of this Agreement, and the issuance and sale by the Company of the Placement Shares as contemplated hereby, except for such consents, approvals, authorizations, orders, and registrations or qualifications as may have been obtained or be required under applicable state securities laws or by the bylaws and rules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or the Exchange in connection with the sale of the Placement Shares by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xml:space="preserve">. Except as set forth in the Registration Statement or the Prospectus: (i) no person, as such term is defined in Rule 1-02 of Regulation S-X promulgated under the Securities Act (each, a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(other than upon the vesting of restricted stock units or exercise of options or warrants to purchase Common Stock or upon the exercise of options that may be granted from time to time under the Company’s stock option plans); (ii) no Person has any preemptive rights, rights of first refusal, or any other rights (whether pursuant to a “poison pill” provision or otherwise) to purchase any Common Stock or shares of any other capital stock or other securities of the Company from the Company;</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Agent, no Person has the right to act as an underwriter or as a financial advisor to the Company in connection with the offer and sale of the Placement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for such rights as have been waived in writing on or prior to the date hereof.</w:t>
      </w:r>
    </w:p>
    <w:p>
      <w:pPr>
        <w:spacing w:after="0" w:line="182"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Public Accountant</w:t>
      </w:r>
      <w:r>
        <w:rPr>
          <w:rFonts w:ascii="Times New Roman" w:cs="Times New Roman" w:eastAsia="Times New Roman" w:hAnsi="Times New Roman"/>
          <w:sz w:val="18"/>
          <w:szCs w:val="18"/>
          <w:color w:val="auto"/>
        </w:rPr>
        <w:t xml:space="preserve">. M&amp;K CPAS, PLLC (the </w:t>
      </w:r>
      <w:r>
        <w:rPr>
          <w:rFonts w:ascii="Times New Roman" w:cs="Times New Roman" w:eastAsia="Times New Roman" w:hAnsi="Times New Roman"/>
          <w:sz w:val="18"/>
          <w:szCs w:val="18"/>
          <w:b w:val="1"/>
          <w:bCs w:val="1"/>
          <w:i w:val="1"/>
          <w:iCs w:val="1"/>
          <w:color w:val="auto"/>
        </w:rPr>
        <w:t>“Accountants”</w:t>
      </w:r>
      <w:r>
        <w:rPr>
          <w:rFonts w:ascii="Times New Roman" w:cs="Times New Roman" w:eastAsia="Times New Roman" w:hAnsi="Times New Roman"/>
          <w:sz w:val="18"/>
          <w:szCs w:val="18"/>
          <w:color w:val="auto"/>
        </w:rPr>
        <w:t xml:space="preserve">), whose reports on the consolidated financial statements of the Company are filed with the SEC as part of the Company’s most recent Annual Report on Form 10-K and incorporated by reference into the Registration Statement, are and, during the periods covered by its report, were an independent registered public accounting firm within the meaning of the Securities Act and the Public Company Accounting Oversight Board (United States). To the Company’s knowledge, the Accountants are not in violation of the auditor independence requirements of the Sarbanes-Oxley Act of 2002 (the </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respecting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ind w:firstLine="1304"/>
        <w:spacing w:after="0" w:line="255" w:lineRule="auto"/>
        <w:tabs>
          <w:tab w:leader="none" w:pos="15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 of Agreements</w:t>
      </w:r>
      <w:r>
        <w:rPr>
          <w:rFonts w:ascii="Times New Roman" w:cs="Times New Roman" w:eastAsia="Times New Roman" w:hAnsi="Times New Roman"/>
          <w:sz w:val="18"/>
          <w:szCs w:val="18"/>
          <w:color w:val="auto"/>
        </w:rPr>
        <w:t>. All agreements between the Company and third parties expressly referenced in the Prospectus, other than such agreements that have expired by their terms or whose termination is disclosed in documents filed by the Company on EDGAR, are, to the Company’s knowledge, legal, valid, and binding obligations of the Company enforceable against the Company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Except as disclosed in the Registration Statement and the Prospectus, neither the Company nor any of its Subsidiaries has failed to file with the applicable governmental authorities any required filing, declaration, listing, registration, report or submission, except for such failures that, individually or in the aggregate, would not reasonably be expected to have a Material Adverse Effect; except as disclosed in the Registration Statement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Except as set forth in the Registration Statement or the Prospectus: (i) there are no legal, governmental, or regulatory actions, suits, or proceedings pending or, to the Company’s knowledge, any legal, governmental, or regulatory investigations to which the Company, or a Subsidiary, or any of their respective directors, officers, or controlling Persons is a party or to which any property of the Company or any of its Subsidiaries is the subject that, individually or in the aggregate, if determined adversely to the Company or any of its Subsidiaries, (A) would reasonably be expected to have a Material Adverse Effect, (B) would materially and adversely affect the ability of the Company to perform its obligations under this Agreement, or</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affect the validity or enforceability of this Agreement or any Placement Shares issued hereunder; (ii) to the Company’s knowledge, no actions, suits, or proceedings are threatened or contemplated by any governmental or regulatory authority or threatened by others against the Company, a Subsidiary, or any of their respective directors, officers, or controlling Persons that, individually or in the aggregate, if determined adversely to the Company or any of its Subsidiaries, would reasonably be expected to have a Material Adverse Effect; (iii) there are no current or pending legal, governmental, or regulatory, actions, suits, proceedings or, to the Company’s knowledge, investigations that are required under the Securities Act to be described in the Prospectus that are not described in the Prospectus; and (iv) there are no contracts or other documents that are required under the Securities Act to be filed as exhibits to the Registration Statement that are not so filed.</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Except as set forth in the Registration Statement or the Prospectus, the Company and each of its Subsidiaries possess or have made all filings, applications, and submissions required by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 w:cs="Times New Roman" w:eastAsia="Times New Roman" w:hAnsi="Times New Roman"/>
          <w:sz w:val="18"/>
          <w:szCs w:val="18"/>
          <w:b w:val="1"/>
          <w:bCs w:val="1"/>
          <w:i w:val="1"/>
          <w:iCs w:val="1"/>
          <w:color w:val="auto"/>
        </w:rPr>
        <w:t>“Permits”</w:t>
      </w:r>
      <w:r>
        <w:rPr>
          <w:rFonts w:ascii="Times New Roman" w:cs="Times New Roman" w:eastAsia="Times New Roman" w:hAnsi="Times New Roman"/>
          <w:sz w:val="18"/>
          <w:szCs w:val="18"/>
          <w:color w:val="auto"/>
        </w:rPr>
        <w:t>), except where the failure to possess, obtain, or make the same would not, individually or in the aggregate, reasonably be expected to have a Material Adverse Effect. Except as disclosed in the Registration Statement or the Prospectus, neither the Company nor its Subsidiaries have received written notice of any proceeding relating to revocation or modification of any such Permit or have any reason to believe that such Permit will not be renewed in the ordinary course, except when the failure to obtain any such renewal would not, individually or in the aggregate, reasonably be expected to have a Material Adverse Effect.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1304"/>
        <w:spacing w:after="0" w:line="255" w:lineRule="auto"/>
        <w:tabs>
          <w:tab w:leader="none" w:pos="15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S-3 Eligibility</w:t>
      </w:r>
      <w:r>
        <w:rPr>
          <w:rFonts w:ascii="Times New Roman" w:cs="Times New Roman" w:eastAsia="Times New Roman" w:hAnsi="Times New Roman"/>
          <w:sz w:val="18"/>
          <w:szCs w:val="18"/>
          <w:color w:val="auto"/>
        </w:rPr>
        <w:t>. (i) At the time of filing the Registration Statement; and (ii) if applicable,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requirements for use of Form S-3 under the Securities Act, up to the Maximum Amount. The Company is not a shell company (as defined in Rule 405 under the Securities Act) and has never been a shell company. If the offering of the Placement Shares is being made pursuant to General Instruction I.B.6 of Form S-3, the Company meets the transaction requirement as set forth in General Instruction I.B.6 of Form S-3 with respect to the aggregate market value of securities being sold pursuant to this offering and during the twelve (12) calendar months prior to such time that this representation is made or deemed to be made.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Defaults</w:t>
      </w:r>
      <w:r>
        <w:rPr>
          <w:rFonts w:ascii="Times New Roman" w:cs="Times New Roman" w:eastAsia="Times New Roman" w:hAnsi="Times New Roman"/>
          <w:sz w:val="18"/>
          <w:szCs w:val="18"/>
          <w:color w:val="auto"/>
        </w:rPr>
        <w:t>. Except as set forth in the Registration Statement and Prospectus, neither the Company nor any of the Subsidiaries has defaulted on any installment on indebtedness for borrowed money or on any rental on one or more long-term leases, which defaults, individually or in the aggregate, would reasonably be expected to have a Material Adverse Effect. Except as set forth in the Registration Statement and Prospectus,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any of the Subsidiaries, nor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of the Subsidiaries or any related entities: (i) are required to register as a “broker” or “dealer” in accordance with the provisions of the Exchange Act; or (ii) directly or indirectly through one or more intermediaries, control or are a “person associated with a member” or “associated person of a member” (within the meaning set forth in the FINRA rules). To the Company’s knowledge, there are no affiliations or associations between any member of FINRA and any of the Company’s officers, directors or 10% or greater security holders, except as set forth in the Registration Statement. All of the information (including, but not limited to, information regarding affiliations, security ownership and trading activity) provided to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Rule 5110 of FINRA in connection with the transactions contemplated by this Agreement is true, complete and correct, and copies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of any Company filings required to be filed with FINRA have been filed with the Commission or delivered to the Sales Agent for filing with FINRA.</w:t>
      </w:r>
    </w:p>
    <w:p>
      <w:pPr>
        <w:spacing w:after="0" w:line="225" w:lineRule="exact"/>
        <w:rPr>
          <w:sz w:val="20"/>
          <w:szCs w:val="20"/>
          <w:color w:val="auto"/>
        </w:rPr>
      </w:pPr>
    </w:p>
    <w:p>
      <w:pPr>
        <w:ind w:right="20" w:firstLine="1304"/>
        <w:spacing w:after="0" w:line="282" w:lineRule="auto"/>
        <w:tabs>
          <w:tab w:leader="none" w:pos="15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Agent or legal counsel for Agent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that have been required to be filed and paid all taxes shown thereon through the date hereof, to the extent that such taxes have become due and are not being contested in good faith by appropriate proceedings, except when the failure to do so would not reasonably be expected to have a Material Adverse Effect. Except as otherwise disclosed in or contemplated by the Registration Statement or the Prospectus, no tax deficiency has been determined adversely to the Company or any of its Subsidiaries that has had, or would reasonably be expected to have, individually or in the aggregate, a Material Adverse Effect. The Company has no knowledge of any federal, state, or other governmental tax deficiency, penalty, or assessment that has been or might be asserted or threatened against it that could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its Subsidiaries have (i) valid and defensible title, in accordance with customary industry standards for companies of comparable size, to substantially all their respective interests in natural gas and oil properties leased or owned by them, and (ii) good and defensible title to all other items of real and personal property owned by them that are material to the business of the Company or such Subsidiary, or to the Company’s financial condition, in each case, free and clear of all liens, encumbrances, and defects (other than under joint operating and other agreements and arrangements customary in the oil and gas industry), except as described in the Registration Statement and Prospectus or that do not materially affect the value of the properties of the Company and its Subsidiaries, considered as one enterprise, and do not interfere in any material respect with the use made and proposed to be made of such properties by the Company and its Subsidiaries, considered as one enterprise; and all of the leases, subleases, and other rights under which the Company or any of its Subsidiaries holds or uses properties described in the Registration Statement and Prospectus are in full force and effect, with such exceptions as would not reasonably be expected to have a Material Adverse Effect, and neither the Company nor any of its Subsidiaries has any notice of any material claim of any sort that has been asserted by anyone adverse to the rights of the Company or its Subsidiaries under any of the leases, subleases, and other rights mentioned above, or affecting or questioning the rights of the Company or any Subsidiary thereof to the continued possession or use of the leased or subleased premises or the premises granted by leases, subleases, and other rights. The Company and each of its Subsidiaries have the consents, easements, rights-of-way, or licenses from any Person as are necessary to enable them to conduct their business in the manner described in the Registration Statement and the Prospectus, subject to such qualifications as may be set forth in the Registration Statement and the Prospectus, and except for the consents, easements, rights-of-way, or licenses the lack of which would not have, individually or in the aggregate, a Material Adverse Effect.</w:t>
      </w:r>
    </w:p>
    <w:p>
      <w:pPr>
        <w:spacing w:after="0" w:line="195" w:lineRule="exact"/>
        <w:rPr>
          <w:sz w:val="20"/>
          <w:szCs w:val="20"/>
          <w:color w:val="auto"/>
        </w:rPr>
      </w:pPr>
    </w:p>
    <w:p>
      <w:pPr>
        <w:jc w:val="both"/>
        <w:ind w:firstLine="1304"/>
        <w:spacing w:after="0" w:line="25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Except as set forth in the Registration Statement or the Prospectus, to the Company’s knowledge, the Company and its Subsidiaries own or possess adequate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except as disclosed in writing to Agent, the Company and any of its Subsidiaries have not received any written notice of any claim of infringement or conflict that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its Subsidiaries’ rights in or to or the validity of the scope of any of the Company’s or its Subsidiaries’ material patents, patent applications, or proprietary information; to the Company’s knowledge, no other entity or individual has any right or claim in any of the Company’s or its Subsidiaries’ owned, material patents, patent applications, or any patent to be issued therefrom by virtue of any contract, license, or other agreement entered into between such entity or individual and the Company or a Subsidiary or by any non-contractual obligation of the Company or a Subsidiary, other than by written licenses granted by the Company or a Subsidiary; the Company and its Subsidiaries have not received any written notice of any claim challenging the rights of the Company or a Subsidiary in or to any Intellectual Property owned, licensed, or optioned by the Company or such Subsidiary that, if the subject of an unfavorable decision, would result in a Material Adverse Effect.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jc w:val="both"/>
        <w:ind w:firstLine="1304"/>
        <w:spacing w:after="0" w:line="253" w:lineRule="auto"/>
        <w:tabs>
          <w:tab w:leader="none" w:pos="164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hazardous or toxic substances or wastes, pollutants, or contaminants (collectively,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Registration Statement and the Prospectus;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and (iv) there are no costs or liabilities arising under Environmental Laws respecting the operation of the Company’s and each of its Subsidiaries’ properties (including any capital or operating expenditures required for clean-up or closure of the properties, compliance with Environmental Laws, any permit, license, or approval or any related legal constraints or operating activities, and any potential liabilities of third parties assumed under contract by the Company or any of its Subsidiaries) that would,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access to assets is permitted only in accordance with management’s general or specific authorization; and (iv) the recorded accountability for assets is compared with the existing assets at reasonable intervals and appropriate action is taken respecting any differences. Except as disclosed in the Prospectus, the Company is not aware of any material weaknesses in its internal control over financial reporting.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provide reasonable assurance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b w:val="1"/>
          <w:bCs w:val="1"/>
          <w:i w:val="1"/>
          <w:iCs w:val="1"/>
          <w:color w:val="auto"/>
        </w:rPr>
        <w:t>“Evaluation 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Except as disclosed in the Company’s public filings with the SEC, to the knowledge of the Company, the Company’s “internal controls over financial reporting” and “disclosure controls and procedures” are effective.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ind w:firstLine="1304"/>
        <w:spacing w:after="0" w:line="255" w:lineRule="auto"/>
        <w:tabs>
          <w:tab w:leader="none" w:pos="1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in all material respects with any applicable provisions of the Sarbanes-Oxley Act and the applicable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respecting all reports, schedules, forms, statements, and other documents required to be filed by it or furnished by it to the SEC during the 12 months prior to the date of this Agreement. For purposes of the preceding sentence, “principal executive officer” and “principal financial officer” will have the meanings given to such terms in the Sarbanes-Oxley Act.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 except as may otherwise exist respecting Agent pursuant to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labor disturbance by or dispute with employees of the Company or any of its Subsidiaries exists or, to the knowledge of the Company, is threatened that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xml:space="preserve">.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b w:val="1"/>
          <w:bCs w:val="1"/>
          <w:i w:val="1"/>
          <w:iCs w:val="1"/>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xml:space="preserve">. To the knowledge of the Company,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color w:val="auto"/>
        </w:rPr>
        <w:t>), except as would not reasonably be expected to result in a Material Adverse Effect; and no action, suit, or proceeding by or before any court or governmental agency, authority, or body or any arbitrator involving the Company or any of its Subsidiaries respecting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xml:space="preserve">. There are no transactions, arrangements, and other relationships between and/or among the Company, and/or, to the knowledge of the Company, any of its affiliates and any unconsolidated entity, including any structural finance, special purpose, or limited purpose entity (each, an </w:t>
      </w:r>
      <w:r>
        <w:rPr>
          <w:rFonts w:ascii="Times New Roman" w:cs="Times New Roman" w:eastAsia="Times New Roman" w:hAnsi="Times New Roman"/>
          <w:sz w:val="18"/>
          <w:szCs w:val="18"/>
          <w:b w:val="1"/>
          <w:bCs w:val="1"/>
          <w:i w:val="1"/>
          <w:iCs w:val="1"/>
          <w:color w:val="auto"/>
        </w:rPr>
        <w:t>“Off 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 Balance Sheet Transactions described in the SEC’s Statement about Management’s Discussion and Analysis of Financial Conditions and Results of Operations (Release Nos. 33-8056; 34-45321; FR-61), required to be described in the Prospectus that have not been described as required.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ind w:firstLine="1304"/>
        <w:spacing w:after="0" w:line="282" w:lineRule="auto"/>
        <w:tabs>
          <w:tab w:leader="none" w:pos="156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The Company is not a party to any agreement with an agent or underwriter for any other “at-the-market” or continuous equity transaction.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knowledge of the Company: (i) each material employee benefit plan, within the meaning of 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xml:space="preserve">), that is maintained, administered, or contributed to by the Company or any of its Subsidiaries (other than a Multiemployer Plan, within the meaning of Section 3(37) of ERISA) for employees or former employees of the Company and any of its Subsidiaries has been maintained in material compliance with its terms and the requirements of any applicable statutes, orders, rules, and regulations, including ERISA and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(ii) no prohibited transaction, within the meaning of Section 406 of ERISA or Section 4975 of the Code, has occurred respecting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reasonably be expected to not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 the Company and each of its Subsidiaries reasonably believe are adequate for the conduct of their properties and as is customary for companies of similar size engaged in similar businesses in similar industries.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Improper Practices</w:t>
      </w:r>
      <w:r>
        <w:rPr>
          <w:rFonts w:ascii="Times New Roman" w:cs="Times New Roman" w:eastAsia="Times New Roman" w:hAnsi="Times New Roman"/>
          <w:sz w:val="18"/>
          <w:szCs w:val="18"/>
          <w:color w:val="auto"/>
        </w:rPr>
        <w:t>. (i) Neither the Company nor, to the Company’s knowledge, the Subsidiaries or any of their respective executive officers or directors has, in the past five (5)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to the Company’s knowledge, any Subsidiary, on the other hand, that is required by the rules of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(1) a customer or supplier of the Company or any Subsidiary to alter the customer’s or supplier’s level or type of business with the Company or any Subsidiary; or (2) a trade journalist or publication to write or publish favorable information about the Company or any Subsidiary or any of their respective products or services; and (vi) neither the Company nor any Subsidiary nor, to the Company’s knowledge, any officer, director, employee or agent of the Company or any Subsidiary has made any payment of funds of the Company or any Subsidiary or received or retained any funds in violation of any law, rule, or regulation (including the Foreign Corrupt Practices Act of 1977), which payment, receipt, or retention of funds is of a character required to be disclosed in the Registration Statement or the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ind w:firstLine="1304"/>
        <w:spacing w:after="0" w:line="282" w:lineRule="auto"/>
        <w:tabs>
          <w:tab w:leader="none" w:pos="16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Each Issuer Free Writing Prospectus, as of its issue date and as of each Applicable Time (as defined in Section 25 below), did not, does not and will not, through the completion of the Placement for which such Issuer Free Writing Prospectus is used or deemed use,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made in reliance upon, and in conformity with written information furnished to the Company by Agent specifically for use in the preparation thereof.</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None of the execution of this Agreement; the issuance, offering, or sale of the Placement Shares; the consummation of any of the transactions contemplated herein; or the compliance by the Company with the terms and provisions hereof will conflict with or result in a breach of any of the terms and provisions of; constitute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conflicts, breaches, and defaults that would not reasonably be expected to have a Material Adverse Effect; nor will such action result in any violation of the provisions of the organizational or governing documents of the Company or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1300" w:firstLine="652"/>
        <w:spacing w:after="0" w:line="268" w:lineRule="auto"/>
        <w:tabs>
          <w:tab w:leader="none" w:pos="2175"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(each, an </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nor any director, officer, employee, nor to the Entity’s knowledge, any agent, affiliate, or representative of the Entity, is a government, individual, or entity that is owned or controlled by any director, officer, employee, agent, affiliate, or representative of the Entity that is:</w:t>
      </w:r>
    </w:p>
    <w:p>
      <w:pPr>
        <w:spacing w:after="0" w:line="175" w:lineRule="exact"/>
        <w:rPr>
          <w:sz w:val="20"/>
          <w:szCs w:val="20"/>
          <w:color w:val="auto"/>
        </w:rPr>
      </w:pPr>
    </w:p>
    <w:p>
      <w:pPr>
        <w:jc w:val="both"/>
        <w:ind w:left="1960" w:firstLine="640"/>
        <w:spacing w:after="0" w:line="266" w:lineRule="auto"/>
        <w:tabs>
          <w:tab w:leader="none" w:pos="289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ind w:left="1960" w:firstLine="640"/>
        <w:spacing w:after="0" w:line="282" w:lineRule="auto"/>
        <w:tabs>
          <w:tab w:leader="none" w:pos="2883"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as of the date hereof, Burma/Myanmar, Cuba, Iran, North Korea, Sudan, Syria, and the Crimea, Donetsk, and Luhansk regions of Ukraine).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each Entity, represents and covenants that it will not, directly or indirectly, use, lend, contribute, or otherwise make available the proceeds of the offering governed by this Agreement to any subsidiary, joint venture partner, or other director, officer, employee, agent, affiliate, or representative of the Entity:</w:t>
      </w:r>
    </w:p>
    <w:p>
      <w:pPr>
        <w:spacing w:after="0" w:line="175" w:lineRule="exact"/>
        <w:rPr>
          <w:rFonts w:ascii="Times New Roman" w:cs="Times New Roman" w:eastAsia="Times New Roman" w:hAnsi="Times New Roman"/>
          <w:sz w:val="18"/>
          <w:szCs w:val="18"/>
          <w:color w:val="auto"/>
        </w:rPr>
      </w:pPr>
    </w:p>
    <w:p>
      <w:pPr>
        <w:ind w:left="1960" w:firstLine="640"/>
        <w:spacing w:after="0" w:line="282" w:lineRule="auto"/>
        <w:tabs>
          <w:tab w:leader="none" w:pos="2866"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2868"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detailed in the Prospectus, for the past five years, the Entity has not knowingly engaged in, is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stock transfer or other taxes (other than income taxes) that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Agent or to counsel for Agent pursuant to or in connection with this Agreement will be deemed to be a representation and warranty by the Company, as applicable, to Agent as to the matters set forth therein. The Company acknowledges that Agent and, for purposes of the opinions to be delivered pursuant to Section 7 hereof, counsel to the Company and counsel to Agent, will rely upon the accuracy and truthfulness of the foregoing representations and hereby consents to such reliance.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Agent that:</w:t>
      </w:r>
    </w:p>
    <w:p>
      <w:pPr>
        <w:spacing w:after="0" w:line="229" w:lineRule="exact"/>
        <w:rPr>
          <w:sz w:val="20"/>
          <w:szCs w:val="20"/>
          <w:color w:val="auto"/>
        </w:rPr>
      </w:pPr>
    </w:p>
    <w:p>
      <w:pPr>
        <w:jc w:val="both"/>
        <w:ind w:firstLine="1304"/>
        <w:spacing w:after="0" w:line="252" w:lineRule="auto"/>
        <w:tabs>
          <w:tab w:leader="none" w:pos="155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Agent under the Securities Act (including in circumstances when such requirement may be satisfied pursuant to Rule 172 under the Securities Act): (i) the Company will notify Agent promptly of the time when any subsequent amendment to the Registration Statement, other than documents incorporated by reference, has been filed with the SEC and/or has become effective or any subsequent supplement to the Prospectus has been filed and of any request by the SEC for any amendment or supplement to the Registration Statement or Prospectus or for additional information; (ii) the Company will prepare and file with the SEC, promptly upon Agent’s reasonable request, any amendments or supplements to the Registration Statement or Prospectus that, in Agent’s reasonable opinion, may be necessary or advisable in connection with the distribution of the Placement Shares by Agent (provided, however, that (A) the failure of Agent to make such request will not relieve the Company of any obligation or liability hereunder, or affect Agent’s right to rely on the representations and warranties made by the Company in this Agreement and (B) that the only remedy Agent will have respecting the failure to make such filing will be to cease making sales under this Agreement until such amendment or supplement is filed); (iii) the Company will not file any amendment or supplement to the Registration Statement or Prospectus relating to the Placement Shares unless a copy thereof has been submitted to Agent within a reasonable period of time before the filing and Agent has not reasonably objected thereto within two (2) Business Days (provided, however, that the failure of Agent to make such objection will not relieve the Company of any obligation or liability hereunder, or affect Agent’s right to rely on the representations and warranties made by the Company in this Agreement and provided, further, that the only remedy Agent will have respecting the failure by the Company to provide Agent with such copy will be to cease making sales under this Agreement) and the Company will furnish to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SEC as required pursuant to the applicable paragraph of Rule 424(b) of the Securities Act or, in the case of any document to be incorporated therein by reference, to be filed with the SEC as required pursuant to the Exchange Act, within the period prescribed (the determination to file or not file any amendment or supplement with the SEC under this Section 7(a), based on the Company’s reasonable opinion or reasonable objections, will be made exclusively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ind w:firstLine="1304"/>
        <w:spacing w:after="0" w:line="255"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SEC Stop Orders</w:t>
      </w:r>
      <w:r>
        <w:rPr>
          <w:rFonts w:ascii="Times New Roman" w:cs="Times New Roman" w:eastAsia="Times New Roman" w:hAnsi="Times New Roman"/>
          <w:sz w:val="18"/>
          <w:szCs w:val="18"/>
          <w:color w:val="auto"/>
        </w:rPr>
        <w:t>. The Company will advise Agent, promptly after it receives notice or obtains knowledge thereof, of the issuance or threatened issuance by the SEC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Agent promptly after it receives any request by the SEC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any period in which a Prospectus relating to the Placement Shares is required to be delivered by Agent under the Securities Act respecting the offer and sale of the Placement Shares (including in circumstances where such requirement may be satisfied pursuant to Rule 172 under the Securities Act) (the </w:t>
      </w:r>
      <w:r>
        <w:rPr>
          <w:rFonts w:ascii="Times New Roman" w:cs="Times New Roman" w:eastAsia="Times New Roman" w:hAnsi="Times New Roman"/>
          <w:sz w:val="18"/>
          <w:szCs w:val="18"/>
          <w:b w:val="1"/>
          <w:bCs w:val="1"/>
          <w:i w:val="1"/>
          <w:iCs w:val="1"/>
          <w:color w:val="auto"/>
        </w:rPr>
        <w:t>“Prospectus Delivery Period”</w:t>
      </w:r>
      <w:r>
        <w:rPr>
          <w:rFonts w:ascii="Times New Roman" w:cs="Times New Roman" w:eastAsia="Times New Roman" w:hAnsi="Times New Roman"/>
          <w:sz w:val="18"/>
          <w:szCs w:val="18"/>
          <w:color w:val="auto"/>
        </w:rPr>
        <w: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SEC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SEC pursuant to said Rule 430B and to notify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the Prospectus Delivery Period it is necessary to amend or supplement the Registration Statement or Prospectus to comply with the Securities Act, the Company will promptly notify Agent to suspend the offering of Placement Shares during such period and the Company will promptly amend or supplement the Registration Statement or Prospectus (at the reasonable expense of the Company) so as to correct such statement or omission or effect such compliance; provided, however, that the Company may delay any amendment or supplement, if in the sole discretion of the Company, it is in the Company’s best interest to do so.</w:t>
      </w:r>
    </w:p>
    <w:p>
      <w:pPr>
        <w:spacing w:after="0" w:line="19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During the Prospectus Delivery Period, the Company will use its commercially reasonable efforts to cause the Placement Shares to be listed on the Exchange.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The Company will furnish to Agent and its counsel (at the reasonable expense of the Company) copies of the Registration Statement, the Prospectus (including all documents incorporated by reference therein) and all amendments and supplements to the Registration Statement or Prospectus that are filed with the SEC during the Prospectus Delivery Period (including all documents filed with the SEC during such period that are deemed to be incorporated by reference therein), in each case as soon as reasonably practicable and in such quantities as Agent may from time to time reasonably request and, at Agent’s request, will also furnish copies of the Prospectus to each exchange or market on which sales of the Placement Shares may be made; provided, however, that the Company will not be required to furnish any document (other than the Prospectus) to Agent to the extent such document is available on EDGAR.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The Company’s compliance with the reporting requirements of the Exchange Act shall be deemed to satisfy this Section 7(f).</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substantially as described in the Prospectus in the section entitled “Use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ind w:firstLine="1304"/>
        <w:spacing w:after="0" w:line="252" w:lineRule="auto"/>
        <w:tabs>
          <w:tab w:leader="none" w:pos="15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in any public or private equity offerings (“</w:t>
      </w:r>
      <w:r>
        <w:rPr>
          <w:rFonts w:ascii="Times New Roman" w:cs="Times New Roman" w:eastAsia="Times New Roman" w:hAnsi="Times New Roman"/>
          <w:sz w:val="18"/>
          <w:szCs w:val="18"/>
          <w:b w:val="1"/>
          <w:bCs w:val="1"/>
          <w:i w:val="1"/>
          <w:iCs w:val="1"/>
          <w:color w:val="auto"/>
        </w:rPr>
        <w:t>Other Sales</w:t>
      </w:r>
      <w:r>
        <w:rPr>
          <w:rFonts w:ascii="Times New Roman" w:cs="Times New Roman" w:eastAsia="Times New Roman" w:hAnsi="Times New Roman"/>
          <w:sz w:val="18"/>
          <w:szCs w:val="18"/>
          <w:color w:val="auto"/>
        </w:rPr>
        <w:t>”) without providing prior written notice delivered to Agent at least two (2) Business Days prior to the pricing of such Other Sale; provided, however, that such notice will not be required in connection with the Company’s issuance, grant, or sale of: (1) Common Stock, options to purchase Common Stock, restricted shares of Common Stock, restricted stock units or other equity awards, or Common Stock issuable upon the exercise of options or other equity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(2) Common Stock issuable upon the exchange, conversion or redemption of securities or the exercise of warrants, options or other rights in effect or outstanding, and disclosed in filings by the Company available on EDGAR or otherwise in writing to Agent; and (3) Common Stock or securities convertible into or exercisable for Common Stock as consideration for mergers, acquisitions, other business combinations, licensing agreements or strategic alliances, or offered and sold in a privately negotiated transaction to licensors, vendors, customers, strategic partners or potential strategic partners who are qualified institutional buyers and not more than three Persons that are “accredited investors” within the meaning of such term under paragraph (a)(1), (a)(2), (a)(3), (a)(7), or (a)(8) of Rule 501 under the Securities Act and otherwise conducted in a manner so as not to be integrated with the offering of Placement Shares contemplated hereby.</w:t>
      </w:r>
    </w:p>
    <w:p>
      <w:pPr>
        <w:spacing w:after="0" w:line="19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Agent promptly after it will have received notice or obtained knowledge thereof, of any information or fact that would alter or affect in any material respect any opinion, certificate, letter or other document required to be provided to Agent pursuant to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Agent or its representatives in connection with the transactions contemplated hereby, including providing information and making available documents and senior corporate officers, during regular business hours and at the Company’s principal offices or such other location mutually agreed to by the parties, as Agent may reasonably request.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requires,</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(i) file a prospectus supplement with the SEC under the applicable paragraph of Rule 424(b) under the Securities Act (each and every filing under Rule 424(b), a </w:t>
      </w:r>
      <w:r>
        <w:rPr>
          <w:rFonts w:ascii="Times New Roman" w:cs="Times New Roman" w:eastAsia="Times New Roman" w:hAnsi="Times New Roman"/>
          <w:sz w:val="18"/>
          <w:szCs w:val="18"/>
          <w:b w:val="1"/>
          <w:bCs w:val="1"/>
          <w:i w:val="1"/>
          <w:iCs w:val="1"/>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Agent, the Net Proceeds to the Company and the compensation payable by the Company to Agent respecting such Placement Shares; and (ii) deliver such number of copies of each such prospectus supplement to each exchange or market on which such sales were effected as may be required by the rules or regulations of such exchange or market.</w:t>
      </w:r>
    </w:p>
    <w:p>
      <w:pPr>
        <w:spacing w:after="0" w:line="18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the date of this Agreement and each time the Company:</w:t>
      </w:r>
    </w:p>
    <w:p>
      <w:pPr>
        <w:spacing w:after="0" w:line="27"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7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88"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that contains restated financial</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7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files a current report on Form 8-K containing amended audited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will be a </w:t>
      </w:r>
      <w:r>
        <w:rPr>
          <w:rFonts w:ascii="Times New Roman" w:cs="Times New Roman" w:eastAsia="Times New Roman" w:hAnsi="Times New Roman"/>
          <w:sz w:val="18"/>
          <w:szCs w:val="18"/>
          <w:b w:val="1"/>
          <w:bCs w:val="1"/>
          <w:i w:val="1"/>
          <w:iCs w:val="1"/>
          <w:color w:val="auto"/>
        </w:rPr>
        <w:t>“Representation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furnish Agent (but in the case of clause (iv) above only if Agent reasonably determines that the information contained in such Form 8-K is material) with a certificate, in the form attached hereto as Exhibit A. The requirement to provide a certificate under this Section 7(l) will be waived for any Representation Date occurring at a time at which no Placement Notice is pending, which waiver will continue until the earlier to occur of the date the Company delivers a Placement Notice hereunder (which for such calendar quarter will be considered a Representation Date) and the next occurring Representation Date; provided, however, that such waiver will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Agent with a certificate under this Section 7(l), then before the Company delivers the Placement Notice or Agent sells any Placement Shares, the Company will provide Agent with a certificate, in the form attached hereto as Exhibit A, dated the date of the Placement Notice.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both"/>
        <w:ind w:firstLine="1304"/>
        <w:spacing w:after="0" w:line="254" w:lineRule="auto"/>
        <w:tabs>
          <w:tab w:leader="none" w:pos="16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On the date of this Agreement and within two (2) Trading Days after each Representation Date for which the Company is obligated to deliver a certificate in the form attached hereto as Exhibit A for which no waiver is applicable, the Company will cause to be furnished to Agent written opinions of Stradling Yocca Carlson &amp; Rauth LLP (</w:t>
      </w:r>
      <w:r>
        <w:rPr>
          <w:rFonts w:ascii="Times New Roman" w:cs="Times New Roman" w:eastAsia="Times New Roman" w:hAnsi="Times New Roman"/>
          <w:sz w:val="18"/>
          <w:szCs w:val="18"/>
          <w:b w:val="1"/>
          <w:bCs w:val="1"/>
          <w:i w:val="1"/>
          <w:iCs w:val="1"/>
          <w:color w:val="auto"/>
        </w:rPr>
        <w:t>“Company Counsel”</w:t>
      </w:r>
      <w:r>
        <w:rPr>
          <w:rFonts w:ascii="Times New Roman" w:cs="Times New Roman" w:eastAsia="Times New Roman" w:hAnsi="Times New Roman"/>
          <w:sz w:val="18"/>
          <w:szCs w:val="18"/>
          <w:color w:val="auto"/>
        </w:rPr>
        <w:t xml:space="preserve">), or other counsel reasonably satisfactory to Agent, in form and substance reasonably satisfactory to Agent and its counsel; provided, however, the Company will be required to furnish to Agent no more than one (1) opinion hereunder per calendar quarter, except that the Company shall furnish an opinion in connection with any Representation Date that involves a material amendment to the Registration Statement or amends or supplement the Prospectus; provided, further, that in lieu of such opinions for subsequent periodic filings under the Exchange Act, Company Counsel may furnish Agent with a letter (a </w:t>
      </w:r>
      <w:r>
        <w:rPr>
          <w:rFonts w:ascii="Times New Roman" w:cs="Times New Roman" w:eastAsia="Times New Roman" w:hAnsi="Times New Roman"/>
          <w:sz w:val="18"/>
          <w:szCs w:val="18"/>
          <w:b w:val="1"/>
          <w:bCs w:val="1"/>
          <w:i w:val="1"/>
          <w:iCs w:val="1"/>
          <w:color w:val="auto"/>
        </w:rPr>
        <w:t>“Reliance Letter”</w:t>
      </w:r>
      <w:r>
        <w:rPr>
          <w:rFonts w:ascii="Times New Roman" w:cs="Times New Roman" w:eastAsia="Times New Roman" w:hAnsi="Times New Roman"/>
          <w:sz w:val="18"/>
          <w:szCs w:val="18"/>
          <w:color w:val="auto"/>
        </w:rPr>
        <w:t>) to the effect that Agent may rely on a prior opinion delivered under this Section 7(m) to the same extent as if it were dated the date of such letter (except that statements in such prior opinion will be deemed to relate to the Registration Statement and the Prospectus as amended or supplemented as of the date of the Reliance Letter).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On the date of this Agreement and within two (2) Trading Days after each Representation Date (other than pursuant to Section 7(l)(iii), for which the Company is obligated to deliver a certificate in the form attached hereto as Exhibit A for which no waiver is applicable, the Company will cause its Accountants to furnish Agent letters (the </w:t>
      </w:r>
      <w:r>
        <w:rPr>
          <w:rFonts w:ascii="Times New Roman" w:cs="Times New Roman" w:eastAsia="Times New Roman" w:hAnsi="Times New Roman"/>
          <w:sz w:val="18"/>
          <w:szCs w:val="18"/>
          <w:b w:val="1"/>
          <w:bCs w:val="1"/>
          <w:i w:val="1"/>
          <w:iCs w:val="1"/>
          <w:color w:val="auto"/>
        </w:rPr>
        <w:t>“Comfort Letters”</w:t>
      </w:r>
      <w:r>
        <w:rPr>
          <w:rFonts w:ascii="Times New Roman" w:cs="Times New Roman" w:eastAsia="Times New Roman" w:hAnsi="Times New Roman"/>
          <w:sz w:val="18"/>
          <w:szCs w:val="18"/>
          <w:color w:val="auto"/>
        </w:rPr>
        <w:t xml:space="preserve">), dated the date the Comfort Letters are delivered, which will meet the requirements set forth in this Section 7(n). The Comfort Letter from each of the Accountants will be in a form and substance reasonably satisfactory to Agent: (i) confirming that they are an independent public accounting firm within the meaning of the Securities Act and the PCAOB; (ii) stating, as of such date, the conclusions and findings of such firm respecting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i w:val="1"/>
          <w:iCs w:val="1"/>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the date of this Agreement, Agent shall have received a certificate, signed on behalf of the Company by its corporate Secretary, certifying as to (i) the Certificate of Incorporation of the Company, (ii) the Bylaws of the Company, (iii) the resolutions of the Board of Directors of the Company (or a committee thereof) authorizing the execution, delivery and performance of this Agreement and the issuance of the Placement Shares and (iv) the incumbency of the officers duly authorized to execute this Agreement and the other documents contemplated by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On the date of this Agreement and each Representation Date pursuant to Section 7(l)(iii), for which the Company is obligated to deliver a certificate in the form attached hereto as Exhibit A for which no waiver is applicable, the Company will cause its Chief Financial Officer to furnish Agent a certificate, signed on behalf of the Company by its Chief Financial Officer in the form attached hereto as Exhibit B.</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Agent; provided, however, that the Company may bid for and purchase shares of its Common Stock in accordance with Rule 10b-18 under the Exchange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both"/>
        <w:ind w:firstLine="1304"/>
        <w:spacing w:after="0" w:line="261" w:lineRule="auto"/>
        <w:tabs>
          <w:tab w:leader="none" w:pos="152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be registered as an “investment company,” as such term is defined in the Investment Company Act, assuming no material change in the SEC’s current interpretation as to entities that are not considered an investment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the Prospectus and an Issuer Free Writing Prospectus approved in advance by the Company and Agent in its capacity as agent hereunder, neither Agent nor the Company (including its agents and representatives, other than Agent in its capacity as such) will make, use, prepare, authorize, approve, or refer to any written communication (as defined in Rule 405 under the Securities Act), required to be filed with the SEC,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the Subsidiaries will use commercially reasonable efforts to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provide reasonable assurance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use commercially reasonable efforts to maintain such controls and other procedures, including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periods specified in the SEC’s rules and forms, including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individuals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u w:val="single" w:color="auto"/>
          <w:color w:val="auto"/>
        </w:rPr>
        <w:t>Representations and Covenants of Agent</w:t>
      </w:r>
      <w:r>
        <w:rPr>
          <w:rFonts w:ascii="Times New Roman" w:cs="Times New Roman" w:eastAsia="Times New Roman" w:hAnsi="Times New Roman"/>
          <w:sz w:val="18"/>
          <w:szCs w:val="18"/>
          <w:color w:val="auto"/>
        </w:rPr>
        <w:t>. Agent represents and warrants that it is duly registered as a broker-dealer under FINRA,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applicable statutes and regulations of each state in which the Placement Shares will be offered and sold, except such states in which Agent is exempt from registration or such registration is not otherwise required. Agent will continue, for the term of this Agreement, to be duly registered as a broker-dealer under FINRA, the Exchange Act, and the applicable statutes and regulations of each state in which the Placement Shares will be offered and sold, except such states in which Agent is exempt from registration or such registration is not otherwise required, during the term of this Agreement. Agent will comply with all applicable law and regulations in connection with the Placement Shares, including Regulation M and other anti-manipulation rules under the Exchange Act.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agrees to reimburse Agent upon request for its reasonable costs and out-of-pocket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incurred in connection with providing its services under this Agreement, including the reasonable documented fees and out-of-pocket expenses of its legal counsel subject to the Fee Cap (defined below). The Company shall bear and be responsible for all expenses which are customarily borne by issuers for transactions of the type set forth herein. Legal fees and out-of-pocket expenses for the offering incurred by Agent and paid by the Company shall not exceed (collectively, the </w:t>
      </w:r>
      <w:r>
        <w:rPr>
          <w:rFonts w:ascii="Times New Roman" w:cs="Times New Roman" w:eastAsia="Times New Roman" w:hAnsi="Times New Roman"/>
          <w:sz w:val="18"/>
          <w:szCs w:val="18"/>
          <w:b w:val="1"/>
          <w:bCs w:val="1"/>
          <w:i w:val="1"/>
          <w:iCs w:val="1"/>
          <w:color w:val="auto"/>
        </w:rPr>
        <w:t>“Fee Cap”</w:t>
      </w:r>
      <w:r>
        <w:rPr>
          <w:rFonts w:ascii="Times New Roman" w:cs="Times New Roman" w:eastAsia="Times New Roman" w:hAnsi="Times New Roman"/>
          <w:sz w:val="18"/>
          <w:szCs w:val="18"/>
          <w:color w:val="auto"/>
        </w:rPr>
        <w:t>): (a) up to $50,000 of the reasonable documented fees and out-of-pocket expenses of Agent’s legal counsel, due and payable upon filing of the Prospectus with the Commission; and (b) for so long as an offering is ongoing and sales are made in the period covered by the relevant Form 10-Q or Form 10-K, as applicable, the Company will pay the reasonable documented legal fees incurred by Agent in connection with updating due diligence in connection with the offering not to exceed $3,500 per calendar quarter.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u w:val="single" w:color="auto"/>
          <w:color w:val="auto"/>
        </w:rPr>
        <w:t>Conditions to Agent’s Obligations</w:t>
      </w:r>
      <w:r>
        <w:rPr>
          <w:rFonts w:ascii="Times New Roman" w:cs="Times New Roman" w:eastAsia="Times New Roman" w:hAnsi="Times New Roman"/>
          <w:sz w:val="18"/>
          <w:szCs w:val="18"/>
          <w:color w:val="auto"/>
        </w:rPr>
        <w:t>. The obligations of Agent hereunder respecting a Placement will be subject to the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accuracy and completeness of the representations and warranties made by the Company herein (other than those representations and warranties made as of a specified date or time), to the due performance by the Company in all material respects of its obligations hereunder, to the completion by Agent of a due diligence review satisfactory to it in its reasonable judgment, and to the continuing reasonable satisfaction (or waiver by Agent in its sole discretion) of the following additional conditions:</w:t>
      </w:r>
    </w:p>
    <w:p>
      <w:pPr>
        <w:spacing w:after="0" w:line="183" w:lineRule="exact"/>
        <w:rPr>
          <w:sz w:val="20"/>
          <w:szCs w:val="20"/>
          <w:color w:val="auto"/>
        </w:rPr>
      </w:pPr>
    </w:p>
    <w:p>
      <w:pPr>
        <w:ind w:firstLine="1304"/>
        <w:spacing w:after="0" w:line="282" w:lineRule="auto"/>
        <w:tabs>
          <w:tab w:leader="none" w:pos="1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Company shall at all times maintain in effect the Registration Statement, which will be available for the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will have occurred and be continuing: (i) receipt by the Company of any request for additional information from the SEC or any other federal or state governmental authority during the period of effectiveness of the Registration Statement the response to which would require any post-effective amendments or supplements to the Registration Statement or the Prospectus; (ii) the issuance by the SEC or any other federal or state governmental authority of any stop order suspending the effectiveness of the Registration Statement or the initiation of any proceedings for that purpose; (iii) receipt by the Company of any notification respecting the suspension of the qualification or exemption from qualification of any of the Placement Shares for sale in any jurisdiction or the initiation or threatening of any proceeding for such purpose; or (iv) the occurrence of any event that requires the making of any changes in the Registration Statement, the Prospectus or related documents so that, in the case of the Registration Statement, it will not contain any materially untrue statement of a material fact or omit to state any material fact required to be stated therein or necessary to make the statements therein not misleading and,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 will not have been advised by the Company that the Registration Statement or Prospectus, or any amendment or supplement thereto, contains an untrue statement of fact that in Agent’s reasonable opinion, in consultation with counsel, is material, or omits to state a fact that in Agent’s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SEC, there will not have been any material adverse change, on a consolidated basis, in the authorized capital stock of the Company or any Material Adverse Effect, or any development that would reasonably be expected to cause a Material Adverse Effect.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Agent will have received the opinions of Company Counsel required to be delivered pursuant Section 7(m) on or before the date on which such delivery of such opinions is required pursuant to Section 7(m).</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Agent will have received the Comfort Letters required to be delivered pursuant Section 7(n) on or before the date on which such delivery of such letter is required pursuant to Section 7(n).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Agent will have received the certificate required to be delivered pursuant to Section 7(l) on or before the date on which delivery of such certificate is required pursuant to Section 7(l).</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Agent will have received the Secretary’s certificate required to be delivered pursuant to Section 7(o) on or before the date on which delivery of such certificate is required pursuant to Section 7(o).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Agent will have received the Chief Financial Officers’ certificate required to be delivered pursuant to Section 7(p) on or before the date on which delivery of such certificate is required pursuant to Section 7(p).</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will not have been suspended on the Exchange and the Common Stock will not have been delisted from the Exchange.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7(l), the Company will have furnished to Agent such appropriate further information, certificates, and documents as Agent may reasonably request and that are usually and customarily furnished by an issuer of securities in connection with a securities offering. All such opinions, certificates, letters, and other documents will be in compliance with the provisions hereof. The Company will furnish Agent with such conformed copies of such opinions, certificates, letters, and other documents as Agent will reasonably request.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both"/>
        <w:ind w:firstLine="1304"/>
        <w:spacing w:after="0" w:line="266" w:lineRule="auto"/>
        <w:tabs>
          <w:tab w:leader="none" w:pos="151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SEC required by Rule 424 with respect to the Placement Shares under the Securities Act to have been filed prior to the issuance of any Placement Notice hereunder will have been made within the applicable period prescribed for such filing by Rule 424.</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will either have been approved for listing on the Exchange, subject only to notice of issuance, or the Company will have filed an application for listing of the Placement Shares on the Exchange at, or prior to, the issuance of any Placement Notice.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No event will have occurred that would permit Agent to terminate this Agreement pursuant to Section 13(a).</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Agent as described in the Prospectus.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5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Agent, its partners, members, directors, officers, employees, and agents and each Person, if any, who controls Agent within the meaning of Section 15 of the Securities Act or Section 20 of the Exchange Act as follows: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16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2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any such settlement is effected with the written consent of the Company, which consent will not unreasonably be delayed or withheld; and</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31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indemnity agreement will not apply to any loss, liability, claim, damage, or expense to the extent arising out of Agent’s gross negligence or willful misconduct or any untrue statement or omission or alleged untrue statement or omission made solely in reliance upon and in conformity with written information furnished to the Company by Agent expressly for use in the Registration Statement (or any amendment thereto), or in any related Issuer Free Writing Prospectus or the Prospectus (or any amendment or supplement thereto).</w:t>
      </w:r>
    </w:p>
    <w:p>
      <w:pPr>
        <w:spacing w:after="0" w:line="180" w:lineRule="exact"/>
        <w:rPr>
          <w:sz w:val="20"/>
          <w:szCs w:val="20"/>
          <w:color w:val="auto"/>
        </w:rPr>
      </w:pPr>
    </w:p>
    <w:p>
      <w:pPr>
        <w:jc w:val="both"/>
        <w:ind w:firstLine="1304"/>
        <w:spacing w:after="0" w:line="256" w:lineRule="auto"/>
        <w:tabs>
          <w:tab w:leader="none" w:pos="15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Agent agrees to indemnify and hold harmless the Company and its directors and each officer of the Company who signed the Registration Statement, and each Person, if any, that: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11(a), as incurred, but only respecting untrue statements or omissions, or alleged untrue statements or omissions, made in the Registration Statement (or any amendments thereto), the Prospectus (or any amendment or supplement thereto) or any Free Writing Prospectus in reliance upon and in conformity with information furnished to the Company in writing by Agent expressly for use therein.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ind w:left="420" w:hanging="236"/>
        <w:spacing w:after="0"/>
        <w:tabs>
          <w:tab w:leader="none" w:pos="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that proposes to assert the right to be indemnified under this Section 11 will, promptly after receipt of notice of commencement of any action against such party in respect of which a claim is to be made against an indemnifying party or parties under this Section 11, notify each such indemnifying party of the commencement of such action, enclosing a copy of all papers served, but the omission so to notify such indemnifying party will not relieve the indemnifying party from: (1) any liability that it might have to any indemnified party otherwise than under this Section 11; and (2) any liability that it may have to any indemnified party under the foregoing provision of this Section 11 unless, and only to the extent that, such omission results in the forfeiture or material impairment of substantive rights or defenses by the indemnifying party.</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3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indemnifying party or parties will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indemnifying party will not, in any event, be liable for any settlement of any action or claim effected without its written consent. No indemnifying party will, without the prior written consent of each indemnified party, settle or compromise or consent to the entry of any judgment in any pending or threatened claim, action, or proceeding relating to the matters contemplated by this Section 11 (whether or not any indemnified party is a party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89" w:name="page90"/>
    <w:bookmarkEnd w:id="89"/>
    <w:p>
      <w:pPr>
        <w:jc w:val="both"/>
        <w:ind w:firstLine="1304"/>
        <w:spacing w:after="0" w:line="251" w:lineRule="auto"/>
        <w:tabs>
          <w:tab w:leader="none" w:pos="155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this Section 11 is applicable in accordance with its terms but for any reason is held to be unavailable from the Company or Agent, the Company and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Agent, such as Persons that control the Company within the meaning of the Securities Act, officers of the Company who signed the Registration Statement and directors of the Company, who also may be liable for contribution) to which the Company and Agent may be subject in such proportion as is appropriate to reflect the relative benefits received by the Company, on the one hand, and Agent, on the other hand. The relative benefits received by the Company, on the one hand, and Agent, on the other hand, will be deemed to be in the same proportion as the total Net Proceeds from the sale of the Placement Shares (before deducting expenses) received by the Company bear to the total compensation received by Agent (before deducting expenses) from the sale of Placement Shares on behalf of the Company, provided that in no case shall the Agent be responsible for any amounts in excess of the fee applicable to the Placement Shares and paid hereunder. If, but only if, the allocation provided by the foregoing sentence is not permitted by applicable law, the allocation of contribution will be made in such proportion as is appropriate to reflect not only the relative benefits referred to in the foregoing sentence but also the relative fault of the Company, on the one hand, and Agent, on the other hand, respecting the statements or omission that resulted in such loss, claim, liability, expense or damage, or action in respect thereof, as well as any other relevant equitable considerations respecting such offering. Such relative fault will be determined by reference to, among other things, whether the untrue or alleged untrue statement of a material fact or omission or alleged omission to state a material fact relates to information supplied by the Company or Agent, the intent of the parties and their relative knowledge, access to information and opportunity to correct or prevent such statement or omission. The Company and Agent agree that it would not be just and equitable if contributions pursuant to this Section 11(d)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11(d) will be deemed to include, for the purpose of this Section 11(d), any legal or other expenses reasonably incurred by such indemnified party in connection with investigating or defending any such action or claim to the extent consistent with Section 11(c) hereof. Notwithstanding the foregoing provisions of this Section 11(d), Agent will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11(d), any Person who controls a party to this Agreement within the meaning of the Securities Act, and any officers, directors, partners, employees or agents of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11(d), will notify any such party or parties from whom contribution may be sought, but the omission to so notify will not relieve that party or parties from whom contribution may be sought from any other obligation it or they may have under this Section 11(d)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respecting any action or claim settled without its written consent if such consent is required pursuant to Section 11(c) hereof.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11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all representations and warranties of the Company herein or in certificates delivered pursuant hereto will survive, as of their respective dates, regardless of: (a) any investigation made by or on behalf of Agent, any controlling Persons, or the Company (or any of their respective officers, directors, or controlling Persons); (b) delivery and acceptance of the Placement Shares and payment therefor; or (c) any termination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2" w:lineRule="auto"/>
        <w:tabs>
          <w:tab w:leader="none" w:pos="15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terminate this Agreement, by notice to the Company, as hereinafter specified at any time: (i) if there has been, since the time of execution of this Agreement or since the date as of which information is given in the Prospectus, any Material Adverse Effect, or any development has occurred that is reasonably likely to have a Material Adverse Effect or in the sole judgment of Agent makes it impractical or inadvisable to market the Placement Shares or to enforce contracts for the sale of the Placement Shares;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Agent, impracticable or inadvisable to market the Placement Shares or to enforce contracts for the sale of the Placement Shares; (iii) if trading in the Common Stock has been suspended or limited by the SEC or the Exchange, or if trading generally on the Exchange has been suspended or limited, or minimum prices for trading have been fixed on the Exchange; (iv) if any suspension of trading of any securities of the Company on any exchange or in the over-the-counter market will have occurred and be continuing; (v) if a major disruption of securities settlements or clearance services in the United States will have occurred and be continuing; or (vi) if a banking moratorium has been declared by either U.S. Federal or New York authorities. Any such termination will be without liability of any party to any other party except that the provisions of Section 9 (Expenses), Section 11 (Indemnification), Section 12 (Survival of Representations), Section 18 (Applicable Law; Waiver of Jury Trial), and Section 19 (Consent to Jurisdiction) hereof will remain in full force and effect notwithstanding such termination. If Agent elects to terminate this Agreement as provided in this Section 13(a), Agent will provide the required notice as specified in Section 14 (Notices).</w:t>
      </w:r>
    </w:p>
    <w:p>
      <w:pPr>
        <w:spacing w:after="0" w:line="195"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will have the right, by giving ten (10) days’ notice as hereinafter specified to terminate this Agreement in its sole discretion at any time after the date of this Agreement.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Agent declines any commercially reasonable placement notice pursuant to Section 2 of this Agreement, then the Company will have the right to terminate this Agreement by giving written notice of termination to Agent. Any such termination will be effective immediately upon a delivery of a termination notice by the Company to Agent.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termination pursuant to Section 13(b) will be without liability of any party to any other party except that the provisions of Section 9, Section 11, Section 12, Section 18, and Section 19 hereof will remain in full force and effect notwithstanding such termination.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both"/>
        <w:ind w:firstLine="1304"/>
        <w:spacing w:after="0" w:line="266" w:lineRule="auto"/>
        <w:tabs>
          <w:tab w:leader="none" w:pos="15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will have the right, by giving three (3) days’ notice as hereinafter specified to terminate this Agreement in its sole discretion at any time after the date of this Agreement. Any such termination will be without liability of any party to any other party except that the provisions of Section 9, Section 11, Section 12, Section 18, and Section 19 hereof will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this Section 13, this Agreement will automatically terminate upon the earlier to occur of: (i) the eighteen-month anniversary of the date hereof; or (ii) the issuance and sale of all of the Placement Shares through Agent on the terms and subject to the conditions set forth herein, except that, in either such case, the provisions of Section 9, Section 11, Section 12, Section 18 and Section 19 hereof will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remain in full force and effect unless terminated pursuant to Section 13(a), Section 13(b), Section 13(c), Section 13(d) above or otherwise by mutual agreement of the parties. Upon termination of this Agreement, the Company will not have any liability to Agent for any discount, commission, or other compensation respecting any Placement Shares not otherwise sold by Agent under this Agreement, except for any Placement Shares for which a Placement Notice has been delivered and accepted but which have not yet settled as of the termination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will be effective on the date specified in such notice of termination; provided, however, that such termination will not be effective until the close of business on the date of receipt of such notice by Agent or the Company, as the case may be. If such termination will occur prior to the Settlement Date for any sale of Placement Shares, such Placement Shares will settle in accordance with the provisions of this Agreement.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additional limitations set forth in Section 8 of this Agreement, in the event of termination of this Agreement prior to the sale of any Placement Shares, Agent shall be entitled only to reimbursement of its reasonable and documented out-of-pocket expenses actually incurred.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or other communications required or permitted to be given by any party to any other party pursuant to the terms of this Agreement will be in writing, unless otherwise specified, and if sent to Agent, will be delivered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430 Park Avenue, 3rd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notices@hcwco.com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John J. Hart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capmkts@egsllp.com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and if to the Company, will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Expion Energy,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Redmond, OR 97756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Kevin Sellers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kevin@expionenergy.com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Stradling Yocca Carlson &amp; Rauth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660 Newport Center Drive,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Ryan Wilkins,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RWilkins@stradlinglaw.com</w:t>
      </w:r>
    </w:p>
    <w:p>
      <w:pPr>
        <w:spacing w:after="0" w:line="207" w:lineRule="exact"/>
        <w:rPr>
          <w:sz w:val="20"/>
          <w:szCs w:val="20"/>
          <w:color w:val="auto"/>
        </w:rPr>
      </w:pPr>
    </w:p>
    <w:p>
      <w:pPr>
        <w:jc w:val="both"/>
        <w:ind w:firstLine="1304"/>
        <w:spacing w:after="0" w:line="261" w:lineRule="auto"/>
        <w:tabs>
          <w:tab w:leader="none" w:pos="15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notice or other communication will be deemed given: (i) when delivered personally on or before 4:30 p.m., New York City time, on a Business Day or, if such day is not a Business Day, on the next succeeding Business Day; or (ii) on the next Business Day after timely delivery to a nationally recognized overnight courier. For purposes of this Agreement,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xml:space="preserve"> will mean any day on which the Exchange and commercial banks in the City of New York are open for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i w:val="1"/>
          <w:iCs w:val="1"/>
          <w:color w:val="auto"/>
        </w:rPr>
        <w:t>“Electronic Notice”</w:t>
      </w:r>
      <w:r>
        <w:rPr>
          <w:rFonts w:ascii="Times New Roman" w:cs="Times New Roman" w:eastAsia="Times New Roman" w:hAnsi="Times New Roman"/>
          <w:sz w:val="18"/>
          <w:szCs w:val="18"/>
          <w:color w:val="auto"/>
        </w:rPr>
        <w:t>) will be deemed written notice for purposes of this Section 14 if sent to the electronic mail address specified by the receiving party under separate cover. Electronic Notice will be deemed received at the time the party sending Electronic Notice receives confirmation of receipt by the receiving party. Any party receiving Electronic Notice may request and will be entitled to receive the notice on paper, in a nonelectronic form (</w:t>
      </w:r>
      <w:r>
        <w:rPr>
          <w:rFonts w:ascii="Times New Roman" w:cs="Times New Roman" w:eastAsia="Times New Roman" w:hAnsi="Times New Roman"/>
          <w:sz w:val="18"/>
          <w:szCs w:val="18"/>
          <w:b w:val="1"/>
          <w:bCs w:val="1"/>
          <w:i w:val="1"/>
          <w:iCs w:val="1"/>
          <w:color w:val="auto"/>
        </w:rPr>
        <w:t>“Nonelectronic Notice”</w:t>
      </w:r>
      <w:r>
        <w:rPr>
          <w:rFonts w:ascii="Times New Roman" w:cs="Times New Roman" w:eastAsia="Times New Roman" w:hAnsi="Times New Roman"/>
          <w:sz w:val="18"/>
          <w:szCs w:val="18"/>
          <w:color w:val="auto"/>
        </w:rPr>
        <w:t>), which will be sent to the requesting party within 10 days of receipt of the written request for Nonelectronic Notice.</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will inure to the benefit of and be binding upon the Company and Agent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the affiliates, controlling Persons, partners, members, officers, directors, employees, and agents referred to in Section 11 hereof. References to any of the parties contained in this Agreement will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adjusted to take into account any share consolidation, stock split, stock dividend, corporate domestication or similar event effected with respect to the Placement Shares.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issued pursuant hereto), by and between the Company and Agent constitutes the entire agreement of the parties respecting the subject matter hereof and thereof and supersedes all other prior and contemporaneous agreements and undertakings, both written and oral, among the parties hereto with regard to the subject matter hereof and thereof, provided that, notwithstanding anything herein to the contrary, the letter agreement, dated October 9, 2026, by and between the Company and the Agent shall continue to be effective and the terms therein shall continue to survive and be enforceable by the Agent in accordance with its terms. Neither this Agreement nor any term hereof may be amended except pursuant to a written instrument executed by the Company and Agent. In the event that any one or more of the provisions contained herein, or the application thereof in any circumstance, is held invalid, illegal, or unenforceable as written by a court of competent jurisdiction, then such provision will be given full force and effect to the fullest possible extent that it is valid, legal, and enforceable, and the remainder of the terms and provisions herein will be construed as if such invalid, illegal, or unenforceable term or provision was not contained herein, but only to the extent that giving effect to such provision and the remainder of the terms and provisions hereof will be in accordance with the intent of the parties as reflected in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APPLICABLE LAW; WAIVER OF JURY TRIAL</w:t>
      </w:r>
      <w:r>
        <w:rPr>
          <w:rFonts w:ascii="Times New Roman" w:cs="Times New Roman" w:eastAsia="Times New Roman" w:hAnsi="Times New Roman"/>
          <w:sz w:val="18"/>
          <w:szCs w:val="18"/>
          <w:b w:val="1"/>
          <w:bCs w:val="1"/>
          <w:color w:val="auto"/>
        </w:rPr>
        <w:t>. THIS AGREEMENT WILL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WILL CONSTITUTE GOOD AND SUFFICIENT SERVICE OF PROCESS AND NOTICE THEREOF. NOTHING CONTAINED HEREIN WILL BE DEEMED TO LIMIT IN ANY WAY ANY RIGHT TO SERVE PROCESS IN ANY MANNER PERMITTED BY LAW.</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Agent may not use any information gained in connection with this Agreement and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including due diligence, for any purpose except in connection with entering into this Agreement and providing services as distribution agent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to be one and the same agreement. Counterparts may be delivered via facsimile, email (including PDF or any electronic signature complying with the U.S. federal ESIGN Act of 2000, e.g., www.docusign.com) or other transmission method, and any counterpart so delivered shall be deemed to have been duly and validly delivered and shall be valid and effective for all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and exhibit headings herein are for convenience only and will not affect the construction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The Company represents, warrants, and agrees that, unless it obtains the prior consent of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SEC. Any such free writing prospectus consented to by Agent or by the Company, as the case may be, is hereinafter referred to as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SEC where required, legending, and recordkeeping. For the purposes of clarity, the parties hereto agree that all free writing prospectuses, if any, listed in Exhibit C hereto are Permitted Free Writing Prospectuses.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9" w:lineRule="exact"/>
        <w:rPr>
          <w:sz w:val="20"/>
          <w:szCs w:val="20"/>
          <w:color w:val="auto"/>
        </w:rPr>
      </w:pPr>
    </w:p>
    <w:p>
      <w:pPr>
        <w:jc w:val="both"/>
        <w:ind w:firstLine="1304"/>
        <w:spacing w:after="0" w:line="256" w:lineRule="auto"/>
        <w:tabs>
          <w:tab w:leader="none" w:pos="153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Agent, on the other hand, has been or will be created in respect of any of the transactions contemplated by this Agreement, irrespective of whether or not Agent has advised or is advising the Company on other matters, and Agent has no obligation to the Company respecting the transactions contemplated by this Agreement except the obligations expressly set forth in this Agreement and any obligations imposed by applicable laws and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ind w:firstLine="1304"/>
        <w:spacing w:after="0" w:line="282" w:lineRule="auto"/>
        <w:tabs>
          <w:tab w:leader="none" w:pos="158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has not provided any legal, accounting, regulatory or tax advice respecting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Agent and its affiliates are engaged in a broad range of transactions that may involve interests that differ from those of the Company and Agent has no obligation to disclose such interests and transactions to the Company by virtue of any fiduciary, advisory or agency relationship or otherwise; provided that Agent hereby agrees not to engage in any such transaction that would cause its interests to be in direct conflict with the best interests of the Company;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Agent for breach of fiduciary duty or alleged breach of fiduciary duty in connection with the sale of Placement Shares under this Agreement and agrees that Agent will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Agent’s obligations under this Agreement and to keep information provided by the Company to Agent and Agent’s counsel confidential to the extent not otherwise publicly available.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“Applicable Time”</w:t>
      </w:r>
      <w:r>
        <w:rPr>
          <w:rFonts w:ascii="Times New Roman" w:cs="Times New Roman" w:eastAsia="Times New Roman" w:hAnsi="Times New Roman"/>
          <w:sz w:val="18"/>
          <w:szCs w:val="18"/>
          <w:color w:val="auto"/>
        </w:rPr>
        <w:t xml:space="preserve"> means: (i) each Representation Date; and (ii) the time of each sale of any Placement Shares pursuant to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Placement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3" w:lineRule="exact"/>
        <w:rPr>
          <w:sz w:val="20"/>
          <w:szCs w:val="20"/>
          <w:color w:val="auto"/>
        </w:rPr>
      </w:pPr>
    </w:p>
    <w:p>
      <w:pPr>
        <w:ind w:firstLine="1304"/>
        <w:spacing w:after="0" w:line="286"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“Rule 164,” “Rule 172,” “Rule 405,” “Rule 415,” “Rule 424,” “Rule 424(b),” “Rule 430A,” “Rule 430B,”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“Rule 433” </w:t>
      </w:r>
      <w:r>
        <w:rPr>
          <w:rFonts w:ascii="Times New Roman" w:cs="Times New Roman" w:eastAsia="Times New Roman" w:hAnsi="Times New Roman"/>
          <w:sz w:val="18"/>
          <w:szCs w:val="18"/>
          <w:color w:val="auto"/>
        </w:rPr>
        <w:t>refer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rules under the Securities Act Regulations.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will be deemed to mean and include all such financial statements and schedules and other information that is incorporated by reference in the Registration Statement or the Prospectus, as the case may be.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will be deemed to include the copy filed with the SEC pursuant to EDGAR; all references in this Agreement to any Issuer Free Writing Prospectus (other than any Issuer Free Writing Prospectuses that, pursuant to Rule 433, are not required to be filed with the SEC) will be deemed to include the copy thereof filed with the SEC pursuant to EDGAR; and all references in this Agreement to “supplements” to the Prospectus will include any supplements, “wrappers,” or similar materials prepared in connection with any offering, sale, or private placement of any Placement Shares by Agent outside of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Expion Energy, Inc. – ATM Issuance Sales Agreement Signature Page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Agent, please so indicate in the space provided below for that purpose, whereupon this letter will constitute a binding agreement between the Company and Agent.</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283"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Kevin Sellers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80" w:type="dxa"/>
            <w:vAlign w:val="bottom"/>
            <w:vMerge w:val="continue"/>
          </w:tcPr>
          <w:p>
            <w:pPr>
              <w:spacing w:after="0"/>
              <w:rPr>
                <w:sz w:val="17"/>
                <w:szCs w:val="17"/>
                <w:color w:val="auto"/>
              </w:rPr>
            </w:pPr>
          </w:p>
        </w:tc>
        <w:tc>
          <w:tcPr>
            <w:tcW w:w="5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Kevin Sellers</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Edward D. Silvera</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80" w:type="dxa"/>
            <w:vAlign w:val="bottom"/>
            <w:vMerge w:val="continue"/>
          </w:tcPr>
          <w:p>
            <w:pPr>
              <w:spacing w:after="0"/>
              <w:rPr>
                <w:sz w:val="17"/>
                <w:szCs w:val="17"/>
                <w:color w:val="auto"/>
              </w:rPr>
            </w:pPr>
          </w:p>
        </w:tc>
        <w:tc>
          <w:tcPr>
            <w:tcW w:w="49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Edward D. Silvera</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H.C. WAINWRIGHT &amp; CO.,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30600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FORM OF PLACEMENT NOTICE</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Expion Energy, Inc.</w:t>
      </w:r>
    </w:p>
    <w:p>
      <w:pPr>
        <w:spacing w:after="0" w:line="200" w:lineRule="exact"/>
        <w:rPr>
          <w:sz w:val="20"/>
          <w:szCs w:val="20"/>
          <w:color w:val="auto"/>
        </w:rPr>
      </w:pPr>
    </w:p>
    <w:p>
      <w:pPr>
        <w:sectPr>
          <w:pgSz w:w="11900" w:h="16838" w:orient="portrait"/>
          <w:cols w:equalWidth="0" w:num="2">
            <w:col w:w="640" w:space="720"/>
            <w:col w:w="9880"/>
          </w:cols>
          <w:pgMar w:left="320" w:top="1008"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H.C. Wainwright &amp; 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0" w:lineRule="exact"/>
        <w:rPr>
          <w:sz w:val="20"/>
          <w:szCs w:val="20"/>
          <w:color w:val="auto"/>
        </w:rPr>
      </w:pPr>
    </w:p>
    <w:p>
      <w:pPr>
        <w:sectPr>
          <w:pgSz w:w="11900" w:h="16838" w:orient="portrait"/>
          <w:cols w:equalWidth="0" w:num="2">
            <w:col w:w="640" w:space="720"/>
            <w:col w:w="9880"/>
          </w:cols>
          <w:pgMar w:left="320" w:top="10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At-The-Market Issuance--Placement Notice</w:t>
      </w:r>
    </w:p>
    <w:p>
      <w:pPr>
        <w:spacing w:after="0" w:line="200" w:lineRule="exact"/>
        <w:rPr>
          <w:sz w:val="20"/>
          <w:szCs w:val="20"/>
          <w:color w:val="auto"/>
        </w:rPr>
      </w:pPr>
    </w:p>
    <w:p>
      <w:pPr>
        <w:sectPr>
          <w:pgSz w:w="11900" w:h="16838" w:orient="portrait"/>
          <w:cols w:equalWidth="0" w:num="2">
            <w:col w:w="640" w:space="720"/>
            <w:col w:w="9880"/>
          </w:cols>
          <w:pgMar w:left="320" w:top="1008" w:right="33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terms and subject to the conditions contained in the At-The-Market Issuance Sales Agreement between Expion Energy,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H.C. Wainwright &amp; Co., LLC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dated October 23, 2026, the Company hereby requests that Agent sell up to [●] shares of the Company’s Common Shares, $0.001 par value, at a minimum market price of $[●] per share, during the period beginning [</w:t>
      </w:r>
      <w:r>
        <w:rPr>
          <w:rFonts w:ascii="Times New Roman" w:cs="Times New Roman" w:eastAsia="Times New Roman" w:hAnsi="Times New Roman"/>
          <w:sz w:val="18"/>
          <w:szCs w:val="18"/>
          <w:i w:val="1"/>
          <w:iCs w:val="1"/>
          <w:color w:val="auto"/>
        </w:rPr>
        <w:t>month,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day, time</w:t>
      </w:r>
      <w:r>
        <w:rPr>
          <w:rFonts w:ascii="Times New Roman" w:cs="Times New Roman" w:eastAsia="Times New Roman" w:hAnsi="Times New Roman"/>
          <w:sz w:val="18"/>
          <w:szCs w:val="18"/>
          <w:color w:val="auto"/>
        </w:rPr>
        <w:t>] and ending [</w:t>
      </w:r>
      <w:r>
        <w:rPr>
          <w:rFonts w:ascii="Times New Roman" w:cs="Times New Roman" w:eastAsia="Times New Roman" w:hAnsi="Times New Roman"/>
          <w:sz w:val="18"/>
          <w:szCs w:val="18"/>
          <w:i w:val="1"/>
          <w:iCs w:val="1"/>
          <w:color w:val="auto"/>
        </w:rPr>
        <w:t>month, day, time</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pay to Agent in cash, upon each sale of Placement Shares pursuant to this Agreement, an amount equal to three percent (3.0%) of the gross proceeds from each sale of Placement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98" w:name="page99"/>
    <w:bookmarkEnd w:id="98"/>
    <w:p>
      <w:pPr>
        <w:ind w:left="5060"/>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00" w:lineRule="exact"/>
        <w:rPr>
          <w:sz w:val="20"/>
          <w:szCs w:val="20"/>
          <w:color w:val="auto"/>
        </w:rPr>
      </w:pPr>
    </w:p>
    <w:p>
      <w:pPr>
        <w:spacing w:after="0" w:line="245" w:lineRule="exact"/>
        <w:rPr>
          <w:sz w:val="20"/>
          <w:szCs w:val="20"/>
          <w:color w:val="auto"/>
        </w:rPr>
      </w:pPr>
    </w:p>
    <w:p>
      <w:pPr>
        <w:ind w:right="879"/>
        <w:spacing w:after="0" w:line="282" w:lineRule="auto"/>
        <w:rPr>
          <w:sz w:val="20"/>
          <w:szCs w:val="20"/>
          <w:color w:val="auto"/>
        </w:rPr>
      </w:pPr>
      <w:r>
        <w:rPr>
          <w:rFonts w:ascii="Times New Roman" w:cs="Times New Roman" w:eastAsia="Times New Roman" w:hAnsi="Times New Roman"/>
          <w:sz w:val="18"/>
          <w:szCs w:val="18"/>
          <w:color w:val="auto"/>
        </w:rPr>
        <w:t>The Company: Kevin Sellers, Chief Executive Officer (Kevin@expionenergy.com), or Robert Winspear, Chief Financial Officer (BobW@expionenergy.com)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atm@hcwco.com</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00" w:lineRule="exact"/>
        <w:rPr>
          <w:sz w:val="20"/>
          <w:szCs w:val="20"/>
          <w:color w:val="auto"/>
        </w:rPr>
      </w:pPr>
    </w:p>
    <w:p>
      <w:pPr>
        <w:spacing w:after="0" w:line="24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undersigned, each a duly qualified and elected officer of Expion Energy,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does hereby certify in his or her respective capacity and on behalf of the Company, pursuant to Section 7(l) of the At-The-Market Issuance Sales Agreement, dated October 23,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H.C. Wainwright &amp; Co., LLC, that to the best of the knowledge of each of the undersigned:</w:t>
      </w:r>
    </w:p>
    <w:p>
      <w:pPr>
        <w:spacing w:after="0" w:line="175" w:lineRule="exact"/>
        <w:rPr>
          <w:sz w:val="20"/>
          <w:szCs w:val="20"/>
          <w:color w:val="auto"/>
        </w:rPr>
      </w:pPr>
    </w:p>
    <w:p>
      <w:pPr>
        <w:jc w:val="both"/>
        <w:ind w:firstLine="1304"/>
        <w:spacing w:after="0" w:line="258" w:lineRule="auto"/>
        <w:tabs>
          <w:tab w:leader="none" w:pos="237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 Each of the representations and warranties of the Company contained in the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so true and correct as of such date; and</w:t>
      </w:r>
    </w:p>
    <w:p>
      <w:pPr>
        <w:spacing w:after="0" w:line="189" w:lineRule="exact"/>
        <w:rPr>
          <w:sz w:val="20"/>
          <w:szCs w:val="20"/>
          <w:color w:val="auto"/>
        </w:rPr>
      </w:pPr>
    </w:p>
    <w:p>
      <w:pPr>
        <w:jc w:val="both"/>
        <w:ind w:firstLine="1304"/>
        <w:spacing w:after="0" w:line="261" w:lineRule="auto"/>
        <w:tabs>
          <w:tab w:leader="none" w:pos="22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covenants required to be performed by the Company in the Agreement on or prior to the date of the Agreement, this Representation Date, and each such other date as set forth in the Agreement, has been duly, timely and fully performed in all material respects and each condition required to be complied with by the Company on or prior to the date of the Agreement, this Representation Date, and each such other date as set forth in the Agreement has been duly, timely and fully complied with in all material respects.</w:t>
      </w:r>
    </w:p>
    <w:p>
      <w:pPr>
        <w:spacing w:after="0" w:line="179" w:lineRule="exact"/>
        <w:rPr>
          <w:rFonts w:ascii="Times New Roman" w:cs="Times New Roman" w:eastAsia="Times New Roman" w:hAnsi="Times New Roman"/>
          <w:sz w:val="18"/>
          <w:szCs w:val="18"/>
          <w:color w:val="auto"/>
        </w:rPr>
      </w:pPr>
    </w:p>
    <w:p>
      <w:pPr>
        <w:ind w:left="2320" w:hanging="1016"/>
        <w:spacing w:after="0"/>
        <w:tabs>
          <w:tab w:leader="none" w:pos="2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date of the most recent financial statements incorporated by reference into the Prospectus, there has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48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SEC).</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Stradling Yocca Carlson &amp; Rauth LLP is entitled to rely on this certificate in connection with the opinions such firm may render pursuant to the Agreement. Capitalized terms used herein without definition shall have the meanings given to such terms in the Agreement.</w:t>
      </w:r>
    </w:p>
    <w:p>
      <w:pPr>
        <w:spacing w:after="0" w:line="16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ind w:left="3960"/>
        <w:spacing w:after="0"/>
        <w:rPr>
          <w:sz w:val="20"/>
          <w:szCs w:val="20"/>
          <w:color w:val="auto"/>
        </w:rPr>
      </w:pPr>
      <w:r>
        <w:rPr>
          <w:rFonts w:ascii="Times New Roman" w:cs="Times New Roman" w:eastAsia="Times New Roman" w:hAnsi="Times New Roman"/>
          <w:sz w:val="18"/>
          <w:szCs w:val="18"/>
          <w:i w:val="1"/>
          <w:iCs w:val="1"/>
          <w:color w:val="auto"/>
        </w:rPr>
        <w:t>[Signature Page to Representation Date Certificate]</w:t>
      </w:r>
    </w:p>
    <w:p>
      <w:pPr>
        <w:spacing w:after="0" w:line="22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229" w:lineRule="exact"/>
        <w:rPr>
          <w:sz w:val="20"/>
          <w:szCs w:val="20"/>
          <w:color w:val="auto"/>
        </w:rPr>
      </w:pPr>
    </w:p>
    <w:tbl>
      <w:tblPr>
        <w:tblLayout w:type="fixed"/>
        <w:tblInd w:w="664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Kevin Sellers</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4"/>
                <w:szCs w:val="24"/>
                <w:color w:val="auto"/>
              </w:rPr>
            </w:pPr>
          </w:p>
        </w:tc>
      </w:t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Winspear</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Certificate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25" w:lineRule="exact"/>
        <w:rPr>
          <w:sz w:val="20"/>
          <w:szCs w:val="20"/>
          <w:color w:val="auto"/>
        </w:rPr>
      </w:pPr>
    </w:p>
    <w:p>
      <w:pPr>
        <w:jc w:val="both"/>
        <w:ind w:left="120" w:firstLine="660"/>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that certain At-The-Market Issuance Sales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dated October 23, 2026 by and between Expion Energy,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H.C. Wainwright &amp; Co., LLC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Robert Winspear in her capacity as Chief Financial Officer of the Company, hereby certifies that (capitalized terms used and not defined herein have the meanings ascribed to them in the Agreement):</w:t>
      </w:r>
    </w:p>
    <w:p>
      <w:pPr>
        <w:spacing w:after="0" w:line="175" w:lineRule="exact"/>
        <w:rPr>
          <w:sz w:val="20"/>
          <w:szCs w:val="20"/>
          <w:color w:val="auto"/>
        </w:rPr>
      </w:pPr>
    </w:p>
    <w:p>
      <w:pPr>
        <w:ind w:left="1640" w:hanging="984"/>
        <w:spacing w:after="0"/>
        <w:tabs>
          <w:tab w:leader="none" w:pos="1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Chief Financial Officer of the Company and have been duly appointed to such position as of the date hereof.</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87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Chief Financial Officer of the Company, I am: (a) responsible for the financial and accounting matters of the Company, including oversight of the financial and accounting functions and staff; (b) knowledgeable about the internal accounting records and accounting practices, systems, policies and procedures of the Company, (c) in a position of power, authority and oversight to be privy to all the financial records the Company to issue this certificate; and (d) knowledgeable about and, together with the Company’s Chief Executive Officer, responsible for establishing and maintaining disclosure controls and procedures (as defined in Exchange Act Rules 13a-15(e) and 15d-15(e)) and internal control over financial reporting (as defined in Exchange Act Rules 13a-15(f) and 15d-15(f)).</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68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 the Company’s Annual Report on Form 10-K for the fiscal year ended December 31, 2025,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on March 17, 2026, and amended on Form 10-K/A filed with the SEC on April 30, 2026; (ii) the Company’s Quarterly Report on Form 10-Q for the fiscal quarter ended March 31, 2026, filed with the SEC on May 15, 2026; and (iii) the Company’s Quarterly Report on Form 10-Q for the fiscal quarter ended June 30, 2026, filed with the SEC on August 10, 2026 (collectively, the </w:t>
      </w:r>
      <w:r>
        <w:rPr>
          <w:rFonts w:ascii="Times New Roman" w:cs="Times New Roman" w:eastAsia="Times New Roman" w:hAnsi="Times New Roman"/>
          <w:sz w:val="18"/>
          <w:szCs w:val="18"/>
          <w:b w:val="1"/>
          <w:bCs w:val="1"/>
          <w:i w:val="1"/>
          <w:iCs w:val="1"/>
          <w:color w:val="auto"/>
        </w:rPr>
        <w:t>“Company Filings”)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Company Filings, I have compared the amounts therein to the corresponding amounts included in or derived from the Company’s internal accounting records or schedules prepared by management from such accounting records for the applicable periods and found them to be in agreement. Such amounts are accurate in all material respects, and nothing has come to my attention that would cause me to believe that these amounts have been materially misstated or are materially misleading.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7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furnished to Agent solely to assist it in conducting and documenting its investigation of the affairs of the Company in connection with the offering of the Placement Shares covered by the Registration Statement and the Prospectus.</w:t>
      </w:r>
    </w:p>
    <w:p>
      <w:pPr>
        <w:spacing w:after="0" w:line="3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3" w:name="page104"/>
    <w:bookmarkEnd w:id="103"/>
    <w:p>
      <w:pPr>
        <w:ind w:left="3880"/>
        <w:spacing w:after="0"/>
        <w:rPr>
          <w:sz w:val="20"/>
          <w:szCs w:val="20"/>
          <w:color w:val="auto"/>
        </w:rPr>
      </w:pPr>
      <w:r>
        <w:rPr>
          <w:rFonts w:ascii="Times New Roman" w:cs="Times New Roman" w:eastAsia="Times New Roman" w:hAnsi="Times New Roman"/>
          <w:sz w:val="18"/>
          <w:szCs w:val="18"/>
          <w:i w:val="1"/>
          <w:iCs w:val="1"/>
          <w:color w:val="auto"/>
        </w:rPr>
        <w:t>[Signature Page to Chief Financial Officer Certificate]</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7"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tab/>
        <w:t>Robert Winspear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22860</wp:posOffset>
            </wp:positionV>
            <wp:extent cx="24174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8"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Permitted Free Writing Prospectuses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08"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Dated as of [_____]</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40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40" w:type="dxa"/>
            <w:vAlign w:val="bottom"/>
          </w:tcPr>
          <w:p>
            <w:pPr>
              <w:spacing w:after="0"/>
              <w:rPr>
                <w:sz w:val="20"/>
                <w:szCs w:val="20"/>
                <w:color w:val="auto"/>
              </w:rPr>
            </w:pPr>
          </w:p>
        </w:tc>
      </w:tr>
      <w:tr>
        <w:trPr>
          <w:trHeight w:val="473"/>
        </w:trPr>
        <w:tc>
          <w:tcPr>
            <w:tcW w:w="13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99"/>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1 DEFINITIONS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w:t>
            </w:r>
          </w:p>
        </w:tc>
      </w:tr>
      <w:tr>
        <w:trPr>
          <w:trHeight w:val="499"/>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1.01</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 of Terms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w:t>
            </w:r>
          </w:p>
        </w:tc>
      </w:tr>
      <w:tr>
        <w:trPr>
          <w:trHeight w:val="500"/>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w:t>
            </w:r>
          </w:p>
        </w:tc>
      </w:tr>
      <w:tr>
        <w:trPr>
          <w:trHeight w:val="499"/>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2.01</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2.02</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6</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2.03</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6</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2.04</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7</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2.05</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8</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2.06</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Temporary Securities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2.07</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2.08</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Cancellation</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2.09</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Benefits of Indenture</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2.10</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Authenticating Agent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2.11</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Global Securities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2.12</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CUSIP Numbers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w:t>
            </w:r>
          </w:p>
        </w:tc>
      </w:tr>
      <w:tr>
        <w:trPr>
          <w:trHeight w:val="499"/>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w:t>
            </w:r>
          </w:p>
        </w:tc>
      </w:tr>
      <w:tr>
        <w:trPr>
          <w:trHeight w:val="500"/>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3.01</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Redemption</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3.02</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Notice of Redemption</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11</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3.03</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Upon Redemption</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3.04</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Sinking Fund</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13</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3.05</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13</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3.06</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13</w:t>
            </w:r>
          </w:p>
        </w:tc>
      </w:tr>
      <w:tr>
        <w:trPr>
          <w:trHeight w:val="500"/>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4 COVENANTS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14</w:t>
            </w:r>
          </w:p>
        </w:tc>
      </w:tr>
      <w:tr>
        <w:trPr>
          <w:trHeight w:val="499"/>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4.01</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14</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4.02</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14</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4.03</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Paying Agents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14</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4.04</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15</w:t>
            </w:r>
          </w:p>
        </w:tc>
      </w:tr>
      <w:tr>
        <w:trPr>
          <w:trHeight w:val="500"/>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15</w:t>
            </w:r>
          </w:p>
        </w:tc>
      </w:tr>
      <w:tr>
        <w:trPr>
          <w:trHeight w:val="500"/>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5.01</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15</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5.02</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15</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5.03</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the Company</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16</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5.04</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Reports by the Trustee</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16</w:t>
            </w:r>
          </w:p>
        </w:tc>
      </w:tr>
      <w:tr>
        <w:trPr>
          <w:trHeight w:val="499"/>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16</w:t>
            </w:r>
          </w:p>
        </w:tc>
      </w:tr>
      <w:tr>
        <w:trPr>
          <w:trHeight w:val="499"/>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6.01</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16</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6.02</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18</w:t>
            </w:r>
          </w:p>
        </w:tc>
      </w:tr>
      <w:tr>
        <w:trPr>
          <w:trHeight w:val="284"/>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6.03</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19</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6.04</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Suits</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19</w:t>
            </w:r>
          </w:p>
        </w:tc>
      </w:tr>
      <w:tr>
        <w:trPr>
          <w:trHeight w:val="283"/>
        </w:trPr>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6.05</w:t>
            </w:r>
          </w:p>
        </w:tc>
        <w:tc>
          <w:tcPr>
            <w:tcW w:w="8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19</w:t>
            </w:r>
          </w:p>
        </w:tc>
      </w:tr>
      <w:tr>
        <w:trPr>
          <w:trHeight w:val="615"/>
        </w:trPr>
        <w:tc>
          <w:tcPr>
            <w:tcW w:w="1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987"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6.06</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6.07</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Undertaking to Pay Costs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r>
      <w:tr>
        <w:trPr>
          <w:trHeight w:val="50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r>
      <w:tr>
        <w:trPr>
          <w:trHeight w:val="499"/>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Hold Securities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7.05</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Moneys Held in Trust</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7.06</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7.07</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7.08</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7.09</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7.10</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7.11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7.12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7.13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7.14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Default</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r>
      <w:tr>
        <w:trPr>
          <w:trHeight w:val="50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r>
      <w:tr>
        <w:trPr>
          <w:trHeight w:val="499"/>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8.01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8.02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8.03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Who May be Deemed Owners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8.04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8.05</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w:t>
            </w:r>
          </w:p>
        </w:tc>
      </w:tr>
      <w:tr>
        <w:trPr>
          <w:trHeight w:val="50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w:t>
            </w:r>
          </w:p>
        </w:tc>
      </w:tr>
      <w:tr>
        <w:trPr>
          <w:trHeight w:val="500"/>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9.01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9.02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9.03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9.04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9.05</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r>
      <w:tr>
        <w:trPr>
          <w:trHeight w:val="500"/>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r>
      <w:tr>
        <w:trPr>
          <w:trHeight w:val="500"/>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10.01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10.02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r>
      <w:tr>
        <w:trPr>
          <w:trHeight w:val="49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r>
      <w:tr>
        <w:trPr>
          <w:trHeight w:val="499"/>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11.01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11.02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Discharge of Obligations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11.03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11.04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11.05</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to Company</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r>
      <w:tr>
        <w:trPr>
          <w:trHeight w:val="49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r>
      <w:tr>
        <w:trPr>
          <w:trHeight w:val="499"/>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12.01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Recourse</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r>
      <w:tr>
        <w:trPr>
          <w:trHeight w:val="499"/>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2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830"/>
        </w:trPr>
        <w:tc>
          <w:tcPr>
            <w:tcW w:w="13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1" w:right="339" w:bottom="42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13.01</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13.02</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 by Successor</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13.03</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13.04</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13.05</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Jury Trial Waiver</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13.06</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13.07</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13.08</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13.09</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13.10</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Counterparts</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13.11</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Separability</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13.12</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Certificates</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13.13</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 Patriot Act</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r>
      <w:tr>
        <w:trPr>
          <w:trHeight w:val="283"/>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13.14</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Force Majeure</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r>
      <w:tr>
        <w:trPr>
          <w:trHeight w:val="284"/>
        </w:trPr>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13.15</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Table of Contents; Headings</w:t>
            </w:r>
          </w:p>
        </w:tc>
        <w:tc>
          <w:tcPr>
            <w:tcW w:w="3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r>
      <w:tr>
        <w:trPr>
          <w:trHeight w:val="722"/>
        </w:trPr>
        <w:tc>
          <w:tcPr>
            <w:tcW w:w="13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[_____], among Expion Energy, Inc., a Nevada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149"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17"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171" w:lineRule="exact"/>
        <w:rPr>
          <w:sz w:val="20"/>
          <w:szCs w:val="20"/>
          <w:color w:val="auto"/>
        </w:rPr>
      </w:pPr>
    </w:p>
    <w:p>
      <w:pPr>
        <w:jc w:val="both"/>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the Trustee or an authenticating agent with respect to all or any of the series of Securities appointed by the Trustee pursuant to Section 2.10.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5"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0" w:name="page111"/>
    <w:bookmarkEnd w:id="110"/>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Expion Energy, Inc., a corporation duly organized and existing under the laws of the State of Nevada, and, subject to the provisions of Article Ten, shall also include its successors and assigns.</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sent</w:t>
      </w:r>
      <w:r>
        <w:rPr>
          <w:rFonts w:ascii="Times New Roman" w:cs="Times New Roman" w:eastAsia="Times New Roman" w:hAnsi="Times New Roman"/>
          <w:sz w:val="18"/>
          <w:szCs w:val="18"/>
          <w:color w:val="auto"/>
        </w:rPr>
        <w:t>” with respect to any notice to be given to a Securityholder pursuant to this Indenture, shall mean notice</w:t>
      </w:r>
    </w:p>
    <w:p>
      <w:pPr>
        <w:spacing w:after="0" w:line="31" w:lineRule="exact"/>
        <w:rPr>
          <w:sz w:val="20"/>
          <w:szCs w:val="20"/>
          <w:color w:val="auto"/>
        </w:rPr>
      </w:pPr>
    </w:p>
    <w:p>
      <w:pPr>
        <w:jc w:val="both"/>
        <w:ind w:firstLine="8"/>
        <w:spacing w:after="0" w:line="253" w:lineRule="auto"/>
        <w:tabs>
          <w:tab w:leader="none" w:pos="27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85"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ind w:right="2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 chief legal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jc w:val="both"/>
        <w:ind w:firstLine="44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76"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by the Commission thereunder.</w:t>
      </w:r>
    </w:p>
    <w:p>
      <w:pPr>
        <w:spacing w:after="0" w:line="22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jc w:val="both"/>
        <w:ind w:firstLine="44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w:t>
      </w:r>
    </w:p>
    <w:p>
      <w:pPr>
        <w:ind w:left="5580" w:right="2140" w:hanging="5572"/>
        <w:spacing w:after="0" w:line="511" w:lineRule="auto"/>
        <w:tabs>
          <w:tab w:leader="none" w:pos="2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(ii) such Person and one or more Subsidiaries of such Person; or (iii) one or more Subsidiaries of such 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2" w:name="page113"/>
    <w:bookmarkEnd w:id="112"/>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[________], and, subject to the provisions of Article Seven, shall also include its successors and assigns, and, if at any time there 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more than one Person acting in such capacity hereunder, “Trustee” shall mean each such Person. The term “Trustee” as used with respect to a particular series of the Securities shall mean the trustee with respect to that series.</w:t>
      </w:r>
    </w:p>
    <w:p>
      <w:pPr>
        <w:spacing w:after="0" w:line="177"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 and the rules and regulations promulgated by the Commission thereunder.</w:t>
      </w:r>
    </w:p>
    <w:p>
      <w:pPr>
        <w:spacing w:after="0" w:line="15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“U.S.A. Patriot Act” </w:t>
      </w:r>
      <w:r>
        <w:rPr>
          <w:rFonts w:ascii="Times New Roman" w:cs="Times New Roman" w:eastAsia="Times New Roman" w:hAnsi="Times New Roman"/>
          <w:sz w:val="18"/>
          <w:szCs w:val="18"/>
          <w:color w:val="auto"/>
        </w:rPr>
        <w:t>means the Uniting and Strengthening America by Providing Appropriate Tools Required to Intercept and Obstruct Terrorism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of 2001, Pub. L. 107-56, as amended and signed into law October 26, 2001.</w:t>
      </w: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OF SECURITIES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1" w:lineRule="auto"/>
        <w:tabs>
          <w:tab w:leader="none" w:pos="125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jc w:val="both"/>
        <w:ind w:firstLine="1440"/>
        <w:spacing w:after="0" w:line="282" w:lineRule="auto"/>
        <w:tabs>
          <w:tab w:leader="none" w:pos="17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61"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rank as senior debt, senior subordinated debt, subordinated debt or any combination thereof, and the terms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w:t>
      </w:r>
    </w:p>
    <w:p>
      <w:pPr>
        <w:spacing w:after="0" w:line="206" w:lineRule="exact"/>
        <w:rPr>
          <w:rFonts w:ascii="Times New Roman" w:cs="Times New Roman" w:eastAsia="Times New Roman" w:hAnsi="Times New Roman"/>
          <w:sz w:val="18"/>
          <w:szCs w:val="18"/>
          <w:color w:val="auto"/>
        </w:rPr>
      </w:pPr>
    </w:p>
    <w:p>
      <w:pPr>
        <w:jc w:val="both"/>
        <w:ind w:firstLine="1440"/>
        <w:spacing w:after="0" w:line="261" w:lineRule="auto"/>
        <w:tabs>
          <w:tab w:leader="none" w:pos="169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ind w:right="20" w:firstLine="1440"/>
        <w:spacing w:after="0" w:line="282" w:lineRule="auto"/>
        <w:tabs>
          <w:tab w:leader="none" w:pos="16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right, if any, to defer the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8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75"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75" w:lineRule="exact"/>
        <w:rPr>
          <w:rFonts w:ascii="Times New Roman" w:cs="Times New Roman" w:eastAsia="Times New Roman" w:hAnsi="Times New Roman"/>
          <w:sz w:val="18"/>
          <w:szCs w:val="18"/>
          <w:color w:val="auto"/>
        </w:rPr>
      </w:pPr>
    </w:p>
    <w:p>
      <w:pPr>
        <w:ind w:firstLine="1440"/>
        <w:spacing w:after="0" w:line="282" w:lineRule="auto"/>
        <w:tabs>
          <w:tab w:leader="none" w:pos="17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Securities of the series shall be issuable, if other than denominations of one thousand U.S. dollars ($1,000) or any integral multiple thereof;</w:t>
      </w:r>
    </w:p>
    <w:p>
      <w:pPr>
        <w:spacing w:after="0" w:line="161"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75"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8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color w:val="auto"/>
        </w:rPr>
      </w:pPr>
    </w:p>
    <w:p>
      <w:pPr>
        <w:jc w:val="both"/>
        <w:ind w:firstLine="1440"/>
        <w:spacing w:after="0" w:line="258" w:lineRule="auto"/>
        <w:tabs>
          <w:tab w:leader="none" w:pos="17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3" w:lineRule="exact"/>
        <w:rPr>
          <w:rFonts w:ascii="Times New Roman" w:cs="Times New Roman" w:eastAsia="Times New Roman" w:hAnsi="Times New Roman"/>
          <w:sz w:val="18"/>
          <w:szCs w:val="18"/>
          <w:color w:val="auto"/>
        </w:rPr>
      </w:pPr>
    </w:p>
    <w:p>
      <w:pPr>
        <w:ind w:firstLine="1440"/>
        <w:spacing w:after="0" w:line="282" w:lineRule="auto"/>
        <w:tabs>
          <w:tab w:leader="none" w:pos="17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color w:val="auto"/>
        </w:rPr>
      </w:pPr>
    </w:p>
    <w:p>
      <w:pPr>
        <w:ind w:firstLine="1440"/>
        <w:spacing w:after="0" w:line="282" w:lineRule="auto"/>
        <w:tabs>
          <w:tab w:leader="none" w:pos="182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series of Securities being issued, including, among others, the consolidation, merger or sale covenant;</w:t>
      </w:r>
    </w:p>
    <w:p>
      <w:pPr>
        <w:spacing w:after="0" w:line="161" w:lineRule="exact"/>
        <w:rPr>
          <w:rFonts w:ascii="Times New Roman" w:cs="Times New Roman" w:eastAsia="Times New Roman" w:hAnsi="Times New Roman"/>
          <w:sz w:val="18"/>
          <w:szCs w:val="18"/>
          <w:color w:val="auto"/>
        </w:rPr>
      </w:pPr>
    </w:p>
    <w:p>
      <w:pPr>
        <w:ind w:firstLine="1440"/>
        <w:spacing w:after="0" w:line="282" w:lineRule="auto"/>
        <w:tabs>
          <w:tab w:leader="none" w:pos="179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61"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5"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this Indenture;</w:t>
      </w:r>
    </w:p>
    <w:p>
      <w:pPr>
        <w:spacing w:after="0" w:line="225" w:lineRule="exact"/>
        <w:rPr>
          <w:rFonts w:ascii="Times New Roman" w:cs="Times New Roman" w:eastAsia="Times New Roman" w:hAnsi="Times New Roman"/>
          <w:sz w:val="18"/>
          <w:szCs w:val="18"/>
          <w:color w:val="auto"/>
        </w:rPr>
      </w:pPr>
    </w:p>
    <w:p>
      <w:pPr>
        <w:ind w:right="20" w:firstLine="1440"/>
        <w:spacing w:after="0" w:line="282" w:lineRule="auto"/>
        <w:tabs>
          <w:tab w:leader="none" w:pos="180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this Indenture both with and without the consent of Securityholders of Securities issued under this Indenture;</w:t>
      </w:r>
    </w:p>
    <w:p>
      <w:pPr>
        <w:spacing w:after="0" w:line="161" w:lineRule="exact"/>
        <w:rPr>
          <w:rFonts w:ascii="Times New Roman" w:cs="Times New Roman" w:eastAsia="Times New Roman" w:hAnsi="Times New Roman"/>
          <w:sz w:val="18"/>
          <w:szCs w:val="18"/>
          <w:color w:val="auto"/>
        </w:rPr>
      </w:pPr>
    </w:p>
    <w:p>
      <w:pPr>
        <w:ind w:left="1800" w:hanging="36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Securities if other than U.S. dollars and the manner of determining the equivalent amount in U.S.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ind w:firstLine="1440"/>
        <w:spacing w:after="0" w:line="282" w:lineRule="auto"/>
        <w:tabs>
          <w:tab w:leader="none" w:pos="17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right="20" w:firstLine="1440"/>
        <w:spacing w:after="0" w:line="282" w:lineRule="auto"/>
        <w:tabs>
          <w:tab w:leader="none" w:pos="17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225" w:lineRule="exact"/>
        <w:rPr>
          <w:rFonts w:ascii="Times New Roman" w:cs="Times New Roman" w:eastAsia="Times New Roman" w:hAnsi="Times New Roman"/>
          <w:sz w:val="18"/>
          <w:szCs w:val="18"/>
          <w:color w:val="auto"/>
        </w:rPr>
      </w:pPr>
    </w:p>
    <w:p>
      <w:pPr>
        <w:ind w:firstLine="1440"/>
        <w:spacing w:after="0" w:line="282" w:lineRule="auto"/>
        <w:tabs>
          <w:tab w:leader="none" w:pos="17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Except as otherwise stated in an Officer’s Certificate or supplemental indenture with respect to the Securities of a series, interest on the Securities shall be computed on the basis of a 360-day year composed of twelve 30-day months.</w:t>
      </w:r>
    </w:p>
    <w:p>
      <w:pPr>
        <w:spacing w:after="0" w:line="18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1440"/>
        <w:spacing w:after="0" w:line="253" w:lineRule="auto"/>
        <w:tabs>
          <w:tab w:leader="none" w:pos="1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87" w:lineRule="exact"/>
        <w:rPr>
          <w:rFonts w:ascii="Times New Roman" w:cs="Times New Roman" w:eastAsia="Times New Roman" w:hAnsi="Times New Roman"/>
          <w:sz w:val="18"/>
          <w:szCs w:val="18"/>
          <w:color w:val="auto"/>
        </w:rPr>
      </w:pPr>
    </w:p>
    <w:p>
      <w:pPr>
        <w:jc w:val="both"/>
        <w:ind w:firstLine="1440"/>
        <w:spacing w:after="0" w:line="266" w:lineRule="auto"/>
        <w:tabs>
          <w:tab w:leader="none" w:pos="169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electronic or facsimile signature.</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may use the manual, electronic or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electronically or by facsimile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8" w:lineRule="auto"/>
        <w:tabs>
          <w:tab w:leader="none" w:pos="12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4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initially appoints the Trustee as Security Registrar for each series of Securities.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1000"/>
        <w:spacing w:after="0" w:line="258" w:lineRule="auto"/>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7" w:name="page118"/>
    <w:bookmarkEnd w:id="117"/>
    <w:p>
      <w:pPr>
        <w:jc w:val="both"/>
        <w:ind w:firstLine="1000"/>
        <w:spacing w:after="0" w:line="256" w:lineRule="auto"/>
        <w:tabs>
          <w:tab w:leader="none" w:pos="126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ind w:left="440"/>
        <w:spacing w:after="0"/>
        <w:rPr>
          <w:sz w:val="20"/>
          <w:szCs w:val="20"/>
          <w:color w:val="auto"/>
        </w:rPr>
      </w:pPr>
      <w:r>
        <w:rPr>
          <w:rFonts w:ascii="Times New Roman" w:cs="Times New Roman" w:eastAsia="Times New Roman" w:hAnsi="Times New Roman"/>
          <w:sz w:val="18"/>
          <w:szCs w:val="18"/>
          <w:b w:val="1"/>
          <w:bCs w:val="1"/>
          <w:color w:val="auto"/>
        </w:rPr>
        <w:t>Section 2.08 Cancellation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5" w:lineRule="auto"/>
        <w:tabs>
          <w:tab w:leader="none" w:pos="12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jc w:val="both"/>
        <w:ind w:firstLine="1000"/>
        <w:spacing w:after="0" w:line="266" w:lineRule="auto"/>
        <w:tabs>
          <w:tab w:leader="none" w:pos="12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jc w:val="both"/>
        <w:ind w:firstLine="1000"/>
        <w:spacing w:after="0" w:line="252" w:lineRule="auto"/>
        <w:tabs>
          <w:tab w:leader="none" w:pos="123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2.12 CUSIP Numbers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3.01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3" w:lineRule="auto"/>
        <w:tabs>
          <w:tab w:leader="none" w:pos="1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10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Unless otherwise provided in a Board Resolution, Officer’s Certificate or supplemental indenture, notice of any redemption of Notes may, at the Company’s discretion, be subject to one or more conditions precedent. If such redemption is subject to satisfaction of one or more conditions precedent, the Company’s notice of redemption shall describe each such condition and, if applicable, shall state that, in the Company’s discretion, the date fixed for redemption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date fixed for redemption as so delayed (even if such conditions are not satisfied more than 90 days after the mailing of such notice of redemption). Any request that the Trustee mail the Company’s notice of redemption may be similarly conditioned. The Company may provide in its redemption notice that payment of the redemption price and performance of the Company’s obligations with respect to such redemption may be performed by another Person.</w:t>
      </w:r>
    </w:p>
    <w:p>
      <w:pPr>
        <w:spacing w:after="0" w:line="18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1000"/>
        <w:spacing w:after="0" w:line="253" w:lineRule="auto"/>
        <w:tabs>
          <w:tab w:leader="none" w:pos="12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15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ind w:left="440"/>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4" w:lineRule="auto"/>
        <w:tabs>
          <w:tab w:leader="none" w:pos="124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3.04 Sinking Fund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10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w:t>
      </w:r>
    </w:p>
    <w:p>
      <w:pPr>
        <w:jc w:val="both"/>
        <w:ind w:firstLine="8"/>
        <w:spacing w:after="0" w:line="252" w:lineRule="auto"/>
        <w:tabs>
          <w:tab w:leader="none" w:pos="26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4.03 Paying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6" w:lineRule="auto"/>
        <w:tabs>
          <w:tab w:leader="none" w:pos="12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1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firstLine="1440"/>
        <w:spacing w:after="0" w:line="282" w:lineRule="auto"/>
        <w:tabs>
          <w:tab w:leader="none" w:pos="16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right="20" w:firstLine="1440"/>
        <w:spacing w:after="0" w:line="282" w:lineRule="auto"/>
        <w:tabs>
          <w:tab w:leader="none" w:pos="169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1700" w:hanging="260"/>
        <w:spacing w:after="0"/>
        <w:tabs>
          <w:tab w:leader="none" w:pos="17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jc w:val="both"/>
        <w:ind w:firstLine="1000"/>
        <w:spacing w:after="0" w:line="254" w:lineRule="auto"/>
        <w:tabs>
          <w:tab w:leader="none" w:pos="126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3" w:name="page124"/>
    <w:bookmarkEnd w:id="123"/>
    <w:p>
      <w:pPr>
        <w:jc w:val="both"/>
        <w:ind w:firstLine="1000"/>
        <w:spacing w:after="0" w:line="25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6" w:lineRule="auto"/>
        <w:tabs>
          <w:tab w:leader="none" w:pos="123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3" w:lineRule="auto"/>
        <w:tabs>
          <w:tab w:leader="none" w:pos="125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94" w:lineRule="exact"/>
        <w:rPr>
          <w:rFonts w:ascii="Times New Roman" w:cs="Times New Roman" w:eastAsia="Times New Roman" w:hAnsi="Times New Roman"/>
          <w:sz w:val="18"/>
          <w:szCs w:val="18"/>
          <w:color w:val="auto"/>
        </w:rPr>
      </w:pPr>
    </w:p>
    <w:p>
      <w:pPr>
        <w:jc w:val="both"/>
        <w:ind w:firstLine="1000"/>
        <w:spacing w:after="0" w:line="255" w:lineRule="auto"/>
        <w:tabs>
          <w:tab w:leader="none" w:pos="1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provisions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000"/>
        <w:spacing w:after="0" w:line="282" w:lineRule="auto"/>
        <w:tabs>
          <w:tab w:leader="none" w:pos="12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61"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3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 Whenever used herein with respect to Securities of a particular series, “Event of Default” means any one or more of the following events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has occurred and is continuing:</w:t>
      </w:r>
    </w:p>
    <w:p>
      <w:pPr>
        <w:spacing w:after="0" w:line="159" w:lineRule="exact"/>
        <w:rPr>
          <w:sz w:val="20"/>
          <w:szCs w:val="20"/>
          <w:color w:val="auto"/>
        </w:rPr>
      </w:pPr>
    </w:p>
    <w:p>
      <w:pPr>
        <w:jc w:val="both"/>
        <w:ind w:firstLine="1440"/>
        <w:spacing w:after="0" w:line="266" w:lineRule="auto"/>
        <w:tabs>
          <w:tab w:leader="none" w:pos="1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firstLine="1440"/>
        <w:spacing w:after="0" w:line="261" w:lineRule="auto"/>
        <w:tabs>
          <w:tab w:leader="none" w:pos="168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5" w:name="page126"/>
    <w:bookmarkEnd w:id="125"/>
    <w:p>
      <w:pPr>
        <w:jc w:val="both"/>
        <w:ind w:firstLine="1440"/>
        <w:spacing w:after="0" w:line="256" w:lineRule="auto"/>
        <w:tabs>
          <w:tab w:leader="none" w:pos="1712"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firstLine="1440"/>
        <w:spacing w:after="0" w:line="261" w:lineRule="auto"/>
        <w:tabs>
          <w:tab w:leader="none" w:pos="1695"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320" w:hanging="312"/>
        <w:spacing w:after="0"/>
        <w:tabs>
          <w:tab w:leader="none" w:pos="3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06"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2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jc w:val="both"/>
        <w:ind w:firstLine="1000"/>
        <w:spacing w:after="0" w:line="255" w:lineRule="auto"/>
        <w:tabs>
          <w:tab w:leader="none" w:pos="126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8" w:lineRule="exact"/>
        <w:rPr>
          <w:rFonts w:ascii="Times New Roman" w:cs="Times New Roman" w:eastAsia="Times New Roman" w:hAnsi="Times New Roman"/>
          <w:sz w:val="18"/>
          <w:szCs w:val="18"/>
          <w:color w:val="auto"/>
        </w:rPr>
      </w:pPr>
    </w:p>
    <w:p>
      <w:pPr>
        <w:jc w:val="both"/>
        <w:ind w:firstLine="1000"/>
        <w:spacing w:after="0" w:line="253" w:lineRule="auto"/>
        <w:tabs>
          <w:tab w:leader="none" w:pos="122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1000"/>
        <w:spacing w:after="0" w:line="258" w:lineRule="auto"/>
        <w:tabs>
          <w:tab w:leader="none" w:pos="12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ind w:left="440"/>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4"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8"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jc w:val="both"/>
        <w:ind w:firstLine="1000"/>
        <w:spacing w:after="0" w:line="254" w:lineRule="auto"/>
        <w:tabs>
          <w:tab w:leader="none" w:pos="127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8"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7" w:name="page128"/>
    <w:bookmarkEnd w:id="127"/>
    <w:p>
      <w:pPr>
        <w:ind w:left="440"/>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1" w:lineRule="auto"/>
        <w:tabs>
          <w:tab w:leader="none" w:pos="124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firstLine="1000"/>
        <w:spacing w:after="0" w:line="261" w:lineRule="auto"/>
        <w:tabs>
          <w:tab w:leader="none" w:pos="125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8" w:name="page129"/>
    <w:bookmarkEnd w:id="128"/>
    <w:p>
      <w:pPr>
        <w:ind w:left="440"/>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6" w:lineRule="auto"/>
        <w:tabs>
          <w:tab w:leader="none" w:pos="124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9" w:name="page130"/>
    <w:bookmarkEnd w:id="129"/>
    <w:p>
      <w:pPr>
        <w:ind w:firstLine="1000"/>
        <w:spacing w:after="0" w:line="282" w:lineRule="auto"/>
        <w:tabs>
          <w:tab w:leader="none" w:pos="124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firstLine="1000"/>
        <w:spacing w:after="0" w:line="282" w:lineRule="auto"/>
        <w:tabs>
          <w:tab w:leader="none" w:pos="12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1"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4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color w:val="auto"/>
        </w:rPr>
      </w:pPr>
    </w:p>
    <w:p>
      <w:pPr>
        <w:jc w:val="both"/>
        <w:ind w:firstLine="1440"/>
        <w:spacing w:after="0" w:line="258" w:lineRule="auto"/>
        <w:tabs>
          <w:tab w:leader="none" w:pos="171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83" w:lineRule="exact"/>
        <w:rPr>
          <w:rFonts w:ascii="Times New Roman" w:cs="Times New Roman" w:eastAsia="Times New Roman" w:hAnsi="Times New Roman"/>
          <w:sz w:val="18"/>
          <w:szCs w:val="18"/>
          <w:color w:val="auto"/>
        </w:rPr>
      </w:pPr>
    </w:p>
    <w:p>
      <w:pPr>
        <w:ind w:firstLine="1000"/>
        <w:spacing w:after="0" w:line="282" w:lineRule="auto"/>
        <w:tabs>
          <w:tab w:leader="none" w:pos="12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1000"/>
        <w:spacing w:after="0" w:line="261" w:lineRule="auto"/>
        <w:tabs>
          <w:tab w:leader="none" w:pos="13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79" w:lineRule="exact"/>
        <w:rPr>
          <w:rFonts w:ascii="Times New Roman" w:cs="Times New Roman" w:eastAsia="Times New Roman" w:hAnsi="Times New Roman"/>
          <w:sz w:val="18"/>
          <w:szCs w:val="18"/>
          <w:color w:val="auto"/>
        </w:rPr>
      </w:pPr>
    </w:p>
    <w:p>
      <w:pPr>
        <w:jc w:val="both"/>
        <w:ind w:firstLine="1000"/>
        <w:spacing w:after="0" w:line="261" w:lineRule="auto"/>
        <w:tabs>
          <w:tab w:leader="none" w:pos="130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9"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225" w:lineRule="exact"/>
        <w:rPr>
          <w:rFonts w:ascii="Times New Roman" w:cs="Times New Roman" w:eastAsia="Times New Roman" w:hAnsi="Times New Roman"/>
          <w:sz w:val="18"/>
          <w:szCs w:val="18"/>
          <w:color w:val="auto"/>
        </w:rPr>
      </w:pPr>
    </w:p>
    <w:p>
      <w:pPr>
        <w:ind w:left="1300" w:hanging="300"/>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do things enumerated in this Indenture shall not be construed as a duty of the Trustee; and</w:t>
      </w:r>
    </w:p>
    <w:p>
      <w:pPr>
        <w:spacing w:after="0" w:line="225" w:lineRule="exact"/>
        <w:rPr>
          <w:rFonts w:ascii="Times New Roman" w:cs="Times New Roman" w:eastAsia="Times New Roman" w:hAnsi="Times New Roman"/>
          <w:sz w:val="18"/>
          <w:szCs w:val="18"/>
          <w:color w:val="auto"/>
        </w:rPr>
      </w:pPr>
    </w:p>
    <w:p>
      <w:pPr>
        <w:ind w:firstLine="1000"/>
        <w:spacing w:after="0" w:line="282" w:lineRule="auto"/>
        <w:tabs>
          <w:tab w:leader="none" w:pos="137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Trustee shall have any duty or responsibility for any act or omission of any other Trustee appointed with respect to a series of Securities 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firstLine="1000"/>
        <w:spacing w:after="0" w:line="266" w:lineRule="auto"/>
        <w:tabs>
          <w:tab w:leader="none" w:pos="124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5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ind w:right="20" w:firstLine="1000"/>
        <w:spacing w:after="0" w:line="282" w:lineRule="auto"/>
        <w:tabs>
          <w:tab w:leader="none" w:pos="12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87" w:lineRule="exact"/>
        <w:rPr>
          <w:rFonts w:ascii="Times New Roman" w:cs="Times New Roman" w:eastAsia="Times New Roman" w:hAnsi="Times New Roman"/>
          <w:sz w:val="18"/>
          <w:szCs w:val="18"/>
          <w:color w:val="auto"/>
        </w:rPr>
      </w:pPr>
    </w:p>
    <w:p>
      <w:pPr>
        <w:ind w:firstLine="1000"/>
        <w:spacing w:after="0" w:line="282" w:lineRule="auto"/>
        <w:tabs>
          <w:tab w:leader="none" w:pos="12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jc w:val="both"/>
        <w:ind w:firstLine="1000"/>
        <w:spacing w:after="0" w:line="254" w:lineRule="auto"/>
        <w:tabs>
          <w:tab w:leader="none" w:pos="12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91"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5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0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color w:val="auto"/>
        </w:rPr>
      </w:pPr>
    </w:p>
    <w:p>
      <w:pPr>
        <w:jc w:val="both"/>
        <w:ind w:firstLine="1000"/>
        <w:spacing w:after="0" w:line="253" w:lineRule="auto"/>
        <w:tabs>
          <w:tab w:leader="none" w:pos="12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jc w:val="both"/>
        <w:ind w:firstLine="1000"/>
        <w:spacing w:after="0" w:line="266" w:lineRule="auto"/>
        <w:tabs>
          <w:tab w:leader="none" w:pos="12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75"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1" w:lineRule="auto"/>
        <w:tabs>
          <w:tab w:leader="none" w:pos="127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79"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61" w:lineRule="auto"/>
        <w:tabs>
          <w:tab w:leader="none" w:pos="123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9" w:lineRule="exact"/>
        <w:rPr>
          <w:rFonts w:ascii="Times New Roman" w:cs="Times New Roman" w:eastAsia="Times New Roman" w:hAnsi="Times New Roman"/>
          <w:sz w:val="18"/>
          <w:szCs w:val="18"/>
          <w:color w:val="auto"/>
        </w:rPr>
      </w:pPr>
    </w:p>
    <w:p>
      <w:pPr>
        <w:jc w:val="both"/>
        <w:ind w:firstLine="1000"/>
        <w:spacing w:after="0" w:line="255" w:lineRule="auto"/>
        <w:tabs>
          <w:tab w:leader="none" w:pos="125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ind w:firstLine="1000"/>
        <w:spacing w:after="0" w:line="282" w:lineRule="auto"/>
        <w:tabs>
          <w:tab w:leader="none" w:pos="123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negligence, reckless misconduct or bad faith.</w:t>
      </w:r>
    </w:p>
    <w:p>
      <w:pPr>
        <w:spacing w:after="0" w:line="161"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7.07 Reliance on Officer’s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reckless misconduct or bad faith on the part of the Trustee, be deemed to be conclusively proved and established by an Officer’s Certificate delivered to the Trustee and such certificate, in the absence of negligence, reckless misconduct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 and subject to supervision or examination by federal, state, territorial, or District of Columbia authority.</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4" w:lineRule="auto"/>
        <w:tabs>
          <w:tab w:leader="none" w:pos="12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ind w:left="1260" w:hanging="260"/>
        <w:spacing w:after="0"/>
        <w:tabs>
          <w:tab w:leader="none" w:pos="12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color w:val="auto"/>
        </w:rPr>
      </w:pPr>
    </w:p>
    <w:p>
      <w:pPr>
        <w:ind w:firstLine="1440"/>
        <w:spacing w:after="0" w:line="282" w:lineRule="auto"/>
        <w:tabs>
          <w:tab w:leader="none" w:pos="167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firstLine="1440"/>
        <w:spacing w:after="0" w:line="282" w:lineRule="auto"/>
        <w:tabs>
          <w:tab w:leader="none" w:pos="170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jc w:val="both"/>
        <w:ind w:firstLine="1440"/>
        <w:spacing w:after="0" w:line="266" w:lineRule="auto"/>
        <w:tabs>
          <w:tab w:leader="none" w:pos="175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jc w:val="both"/>
        <w:ind w:firstLine="1000"/>
        <w:spacing w:after="0" w:line="266" w:lineRule="auto"/>
        <w:tabs>
          <w:tab w:leader="none" w:pos="123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right="20" w:firstLine="1000"/>
        <w:spacing w:after="0" w:line="282" w:lineRule="auto"/>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firstLine="1000"/>
        <w:spacing w:after="0" w:line="282" w:lineRule="auto"/>
        <w:tabs>
          <w:tab w:leader="none" w:pos="123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5" w:lineRule="auto"/>
        <w:tabs>
          <w:tab w:leader="none" w:pos="12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8" w:lineRule="exact"/>
        <w:rPr>
          <w:rFonts w:ascii="Times New Roman" w:cs="Times New Roman" w:eastAsia="Times New Roman" w:hAnsi="Times New Roman"/>
          <w:sz w:val="18"/>
          <w:szCs w:val="18"/>
          <w:color w:val="auto"/>
        </w:rPr>
      </w:pPr>
    </w:p>
    <w:p>
      <w:pPr>
        <w:jc w:val="both"/>
        <w:ind w:firstLine="1000"/>
        <w:spacing w:after="0" w:line="252" w:lineRule="auto"/>
        <w:tabs>
          <w:tab w:leader="none" w:pos="124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ind w:firstLine="1000"/>
        <w:spacing w:after="0" w:line="282" w:lineRule="auto"/>
        <w:tabs>
          <w:tab w:leader="none" w:pos="123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firstLine="1000"/>
        <w:spacing w:after="0" w:line="282" w:lineRule="auto"/>
        <w:tabs>
          <w:tab w:leader="none" w:pos="127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4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firstLine="1000"/>
        <w:spacing w:after="0" w:line="498" w:lineRule="auto"/>
        <w:tabs>
          <w:tab w:leader="none" w:pos="124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6" w:name="page137"/>
    <w:bookmarkEnd w:id="136"/>
    <w:p>
      <w:pPr>
        <w:ind w:left="440"/>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1240" w:hanging="240"/>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color w:val="auto"/>
        </w:rPr>
      </w:pPr>
    </w:p>
    <w:p>
      <w:pPr>
        <w:ind w:left="1240" w:hanging="240"/>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jc w:val="both"/>
        <w:ind w:firstLine="1000"/>
        <w:spacing w:after="0" w:line="258" w:lineRule="auto"/>
        <w:tabs>
          <w:tab w:leader="none" w:pos="12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7" w:name="page138"/>
    <w:bookmarkEnd w:id="137"/>
    <w:p>
      <w:pPr>
        <w:ind w:right="20" w:firstLine="1000"/>
        <w:spacing w:after="0" w:line="282" w:lineRule="auto"/>
        <w:tabs>
          <w:tab w:leader="none" w:pos="12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Act.</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ind w:left="440"/>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9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8" w:lineRule="auto"/>
        <w:tabs>
          <w:tab w:leader="none" w:pos="124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9" w:name="page140"/>
    <w:bookmarkEnd w:id="139"/>
    <w:p>
      <w:pPr>
        <w:ind w:right="20" w:firstLine="1000"/>
        <w:spacing w:after="0" w:line="282" w:lineRule="auto"/>
        <w:tabs>
          <w:tab w:leader="none" w:pos="12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jc w:val="both"/>
        <w:ind w:firstLine="1000"/>
        <w:spacing w:after="0" w:line="266" w:lineRule="auto"/>
        <w:tabs>
          <w:tab w:leader="none" w:pos="124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ind w:left="440"/>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12.01 No Recourse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13.04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13.05 Governing Law; Jury Trial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000"/>
        <w:spacing w:after="0" w:line="256" w:lineRule="auto"/>
        <w:tabs>
          <w:tab w:leader="none" w:pos="125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color w:val="auto"/>
        </w:rPr>
      </w:pPr>
    </w:p>
    <w:p>
      <w:pPr>
        <w:jc w:val="both"/>
        <w:ind w:firstLine="1000"/>
        <w:spacing w:after="0" w:line="255" w:lineRule="auto"/>
        <w:tabs>
          <w:tab w:leader="none" w:pos="12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 318(c) of the Trust Indenture Act, such imposed duties shall control.</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13.10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13.11 Separability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13.13 U.S.A Patriot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b w:val="1"/>
          <w:bCs w:val="1"/>
          <w:color w:val="auto"/>
        </w:rPr>
        <w:t>Section 13.14 Force Majeure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13.15 Table of Contents; Headings.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4" w:name="page145"/>
    <w:bookmarkEnd w:id="144"/>
    <w:p>
      <w:pPr>
        <w:ind w:left="4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EXPION ENERGY, INC.</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34290</wp:posOffset>
            </wp:positionV>
            <wp:extent cx="61976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34290</wp:posOffset>
            </wp:positionV>
            <wp:extent cx="61976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34290</wp:posOffset>
            </wp:positionV>
            <wp:extent cx="61976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619760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34290</wp:posOffset>
            </wp:positionV>
            <wp:extent cx="61976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34290</wp:posOffset>
            </wp:positionV>
            <wp:extent cx="61976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34290</wp:posOffset>
            </wp:positionV>
            <wp:extent cx="61976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1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576" w:right="10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CROSS-REFERENCE TABLE</w:t>
            </w:r>
          </w:p>
        </w:tc>
      </w:tr>
      <w:tr>
        <w:trPr>
          <w:trHeight w:val="473"/>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27"/>
        </w:trPr>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310(a)</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7.09</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310(b)</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7.08</w:t>
            </w:r>
          </w:p>
        </w:tc>
      </w:tr>
      <w:tr>
        <w:trPr>
          <w:trHeight w:val="283"/>
        </w:trPr>
        <w:tc>
          <w:tcPr>
            <w:tcW w:w="4200" w:type="dxa"/>
            <w:vAlign w:val="bottom"/>
          </w:tcPr>
          <w:p>
            <w:pPr>
              <w:spacing w:after="0"/>
              <w:rPr>
                <w:sz w:val="24"/>
                <w:szCs w:val="24"/>
                <w:color w:val="auto"/>
              </w:rPr>
            </w:pP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7.10</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310(c)</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311(a)</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7.13</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311(b)</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7.13</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311(c)</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312(a)</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5.01</w:t>
            </w:r>
          </w:p>
        </w:tc>
      </w:tr>
      <w:tr>
        <w:trPr>
          <w:trHeight w:val="283"/>
        </w:trPr>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5.02(a)</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312(b)</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312(c)</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313(a)</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313(b)</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313(c)</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83"/>
        </w:trPr>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313(d)</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5.04(c)</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314(a)</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5.03</w:t>
            </w:r>
          </w:p>
        </w:tc>
      </w:tr>
      <w:tr>
        <w:trPr>
          <w:trHeight w:val="283"/>
        </w:trPr>
        <w:tc>
          <w:tcPr>
            <w:tcW w:w="4200" w:type="dxa"/>
            <w:vAlign w:val="bottom"/>
          </w:tcPr>
          <w:p>
            <w:pPr>
              <w:spacing w:after="0"/>
              <w:rPr>
                <w:sz w:val="24"/>
                <w:szCs w:val="24"/>
                <w:color w:val="auto"/>
              </w:rPr>
            </w:pP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13.12</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314(b)</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314(c)</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13.07(a)</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314(d)</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314(e)</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13.07(b)</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314(f)</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315(a)</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7.01(a)</w:t>
            </w:r>
          </w:p>
        </w:tc>
      </w:tr>
      <w:tr>
        <w:trPr>
          <w:trHeight w:val="283"/>
        </w:trPr>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315(b)</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7.14</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315(c)</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7.01</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315(d)</w:t>
            </w:r>
          </w:p>
        </w:tc>
        <w:tc>
          <w:tcPr>
            <w:tcW w:w="14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315(e)</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6.07</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316(a)</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6.06</w:t>
            </w:r>
          </w:p>
        </w:tc>
      </w:tr>
      <w:tr>
        <w:trPr>
          <w:trHeight w:val="283"/>
        </w:trPr>
        <w:tc>
          <w:tcPr>
            <w:tcW w:w="4200" w:type="dxa"/>
            <w:vAlign w:val="bottom"/>
          </w:tcPr>
          <w:p>
            <w:pPr>
              <w:spacing w:after="0"/>
              <w:rPr>
                <w:sz w:val="24"/>
                <w:szCs w:val="24"/>
                <w:color w:val="auto"/>
              </w:rPr>
            </w:pP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8.04</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316(b)</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6.04</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316(c)</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8.01</w:t>
            </w:r>
          </w:p>
        </w:tc>
      </w:tr>
      <w:tr>
        <w:trPr>
          <w:trHeight w:val="28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317(a)</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6.02</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317(b)</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4.03</w:t>
            </w:r>
          </w:p>
        </w:tc>
      </w:tr>
      <w:tr>
        <w:trPr>
          <w:trHeight w:val="28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318(a)</w:t>
            </w:r>
          </w:p>
        </w:tc>
        <w:tc>
          <w:tcPr>
            <w:tcW w:w="70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25" w:lineRule="exact"/>
        <w:rPr>
          <w:sz w:val="20"/>
          <w:szCs w:val="20"/>
          <w:color w:val="auto"/>
        </w:rPr>
      </w:pPr>
    </w:p>
    <w:p>
      <w:pPr>
        <w:ind w:left="380" w:hanging="318"/>
        <w:spacing w:after="0" w:line="282" w:lineRule="auto"/>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3A547C"/>
        </w:rPr>
        <w:t>Stradling Yocca Carlson &amp; Rauth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891540" cy="3257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891540" cy="3257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3"/>
          <w:szCs w:val="13"/>
          <w:color w:val="3A547C"/>
        </w:rPr>
        <w:t>660 Newport Center Drive, Suite 1600</w:t>
      </w:r>
    </w:p>
    <w:p>
      <w:pPr>
        <w:ind w:left="5620"/>
        <w:spacing w:after="0" w:line="231" w:lineRule="auto"/>
        <w:rPr>
          <w:sz w:val="20"/>
          <w:szCs w:val="20"/>
          <w:color w:val="auto"/>
        </w:rPr>
      </w:pPr>
      <w:r>
        <w:rPr>
          <w:rFonts w:ascii="Arial" w:cs="Arial" w:eastAsia="Arial" w:hAnsi="Arial"/>
          <w:sz w:val="13"/>
          <w:szCs w:val="13"/>
          <w:color w:val="3A547C"/>
        </w:rPr>
        <w:t>Newport Beach, CA 92660</w:t>
      </w:r>
    </w:p>
    <w:p>
      <w:pPr>
        <w:ind w:left="5620"/>
        <w:spacing w:after="0"/>
        <w:rPr>
          <w:sz w:val="20"/>
          <w:szCs w:val="20"/>
          <w:color w:val="auto"/>
        </w:rPr>
      </w:pPr>
      <w:r>
        <w:rPr>
          <w:rFonts w:ascii="Arial" w:cs="Arial" w:eastAsia="Arial" w:hAnsi="Arial"/>
          <w:sz w:val="13"/>
          <w:szCs w:val="13"/>
          <w:color w:val="3A547C"/>
        </w:rPr>
        <w:t>949 725 4000</w:t>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3"/>
          <w:szCs w:val="13"/>
          <w:color w:val="3A547C"/>
        </w:rPr>
        <w:t>stradlinglaw.com</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Expion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Redmond, Oregon 97756</w:t>
      </w:r>
    </w:p>
    <w:p>
      <w:pPr>
        <w:spacing w:after="0" w:line="20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Registration Statement on Form S-3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filing by Expion Energy,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a Registration Statement on Form S-3 (as such may be amended or supplemented from time to time,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October 23, 2026,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have provided us with the Registration Statement in the form in which it will be filed, which includes the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Prospectus provides that it may be supplemented by one or more supplements (each, a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The Registration Statement, including the Prospectus, as supplemented by one or more Prospectus Supplements, will provide for the registration by the Company of up to $50,000,000 initial aggregate offering price of (a) shares of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(b) shares of preferred stock, par value $0.001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that may be exchangeable for or convertible into shares of Common Stock, other shares of Preferred Stock, Debt Securities or Warrants (each as defined hereafter); (c) debt securities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that may be exchangeable for or convertible into shares of Common Stock, shares of Preferred Stock, other Debt Securities or Warrants (or which may be non-exchangeable or non-convertible); and/or (d) warrants to purchase shares of Common Stock, shares of Preferred Stock or Debt Securities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plus any additional shares of Common Stock, shares of Preferred Stock, Debt Securities, and/or Warrants that may be registered pursuant to any subsequent registration statement relating to the Registration Statement that the Company may hereafter file with the Commission pursuant to Rule 462(b) under the Securities Act. The Common Stock, Preferred Stock, Debt Securities, and Warrants to be offered and sold pursuant to the Registration Statement, the Prospectus, and any applicable Prospectus Supplement(s), shall be collectively referred to as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Securities will be offered and sold, either individually or collectively, pursuant to one or more definitive purchase agreements, subscription agreements, underwriting agreements, indentures, warrant agreements, or similar agreements (any such agreement, a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our capacity as your counsel, we are familiar with the proceedings taken and proposed to be taken by the Company in connection with the preparation and filing of the Registration Statement (including the Prospectus), the preparation and filing of any applicable Prospectus Supplement(s), and the authorization, issuance and sale of the Securities. For the purposes of this opinion, with your consent, we have assumed that (a) at the time any Securities are sold pursuant to the Registration Statement (any such time, the “</w:t>
      </w:r>
      <w:r>
        <w:rPr>
          <w:rFonts w:ascii="Times New Roman" w:cs="Times New Roman" w:eastAsia="Times New Roman" w:hAnsi="Times New Roman"/>
          <w:sz w:val="18"/>
          <w:szCs w:val="18"/>
          <w:b w:val="1"/>
          <w:bCs w:val="1"/>
          <w:i w:val="1"/>
          <w:iCs w:val="1"/>
          <w:color w:val="auto"/>
        </w:rPr>
        <w:t>Relevant Time</w:t>
      </w:r>
      <w:r>
        <w:rPr>
          <w:rFonts w:ascii="Times New Roman" w:cs="Times New Roman" w:eastAsia="Times New Roman" w:hAnsi="Times New Roman"/>
          <w:sz w:val="18"/>
          <w:szCs w:val="18"/>
          <w:color w:val="auto"/>
        </w:rPr>
        <w:t>”), the Registration Statement and any supplements and amendments thereto (including any post-effective amendments) will be effective and will comply with all applicable laws and regulations; (b) at the Relevant Time, one or more Prospectus Supplements will have been prepared and filed describing the Securities offered thereby and will comply with all applicable laws; (c) at the time of execution, each of the parties to any Purchase Agreement other than the Company will (i) be duly organized, validly existing and in good standing under the laws of its jurisdiction of organization, (ii) have the requisite power and authority to execute, deliver and perform its obligations under each Purchase Agreement to which it is a party, and (iii) have duly authorized, executed and delivered each Purchase Agreement; and</w:t>
      </w:r>
    </w:p>
    <w:p>
      <w:pPr>
        <w:spacing w:after="0" w:line="6" w:lineRule="exact"/>
        <w:rPr>
          <w:sz w:val="20"/>
          <w:szCs w:val="20"/>
          <w:color w:val="auto"/>
        </w:rPr>
      </w:pPr>
    </w:p>
    <w:p>
      <w:pPr>
        <w:ind w:firstLine="8"/>
        <w:spacing w:after="0" w:line="260" w:lineRule="auto"/>
        <w:tabs>
          <w:tab w:leader="none" w:pos="2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 the parties to each Purchase Agreement (other than the Company), such Purchase Agreement to which it is a party will constitute its legally valid and binding agreement, enforceable against it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(b) the Company’s Articles of Incorporation filed as Exhibit 3.1 to the Registration Statement, as amended by the Certificate of Amendment of Articles of Incorporation filed as Exhibit 3.2 to the Registration Statement, as further amended by the Certificate of Change filed as Exhibit 3.3 to the Registration Statement, and as further amended by the Certificate of Amendment of Articles of Incorporation filed as Exhibit 3.4 to the Registration Statement (as so amended, and as may be further amended from time to time,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(c) the Company’s Amended and Restated Bylaws filed as Exhibit 3.6 to the Registration Statement, as amended by the Certificate of Amended and Restated Bylaws filed as Exhibit 3.7 to the Registration Statement, and (d)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and the conformity to originals of all documents submitted to us as copies.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w:t>
      </w:r>
    </w:p>
    <w:p>
      <w:pPr>
        <w:spacing w:after="0" w:line="225" w:lineRule="exact"/>
        <w:rPr>
          <w:sz w:val="20"/>
          <w:szCs w:val="20"/>
          <w:color w:val="auto"/>
        </w:rPr>
      </w:pPr>
    </w:p>
    <w:p>
      <w:pPr>
        <w:jc w:val="both"/>
        <w:ind w:firstLine="656"/>
        <w:spacing w:after="0" w:line="252" w:lineRule="auto"/>
        <w:tabs>
          <w:tab w:leader="none" w:pos="167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and any required post-effective amendments thereto have all become effective under the Securities Act and (a) any and all Prospectus Supplement(s) required by applicable laws have been delivered and filed as required by such laws; (b) any applicable Purchase Agreement covering the offer and sale of the shares of Common Stock has been duly authorized, executed and delivered by the Company; (c) the issuance and delivery of the shares of Common Stock have been duly authorized in accordance with applicable laws, including, without limitation, by the adoption of resolutions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an authorized committee thereof); and (d) payment of legal consideration for the shares of Common Stock, in the manner contemplated by the Registration Statement, the Prospectus, the related Prospectus Supplement(s), and any applicable Purchase Agreement, has been received by the Company, and assuming that (i) the terms of such shares of Common Stock, as issued and delivered, are materially consistent with the description thereof in the Registration Statement, the Prospectus, and the related Prospectus Supplement(s); (ii) at the time of the issuance of such shares of Common Stock, the Company has a sufficient number of authorized but unissued shares of Common Stock under the Articles; (iii) such shares of Common Stock, as issued and delivered, comply with all requirements and restrictions, if any, applicable to the Company, whether imposed by any court, governmental agency or regulatory body having jurisdiction over the Company or otherwise; and (iv) such shares of Common Stock are issued and sold as contemplated in the Registration Statement, the Prospectus, the related Prospectus Supplement(s), any applicable Purchase Agreement, and such resolutions of the Board (or of an authorized committee thereof), then such shares of Common Stock, including any shares of Common Stock duly issued upon (A) the exchange or conversion of any shares of Preferred Stock that are exchangeable for or convertible into shares of Common Stock, (B) the exchange or conversion of any Debt Securities that are exchangeable for or convertible into shares of Common Stock, or (C) the exercise of any Warrants that are exercisable for shares of Common Stock, will be validly issued, fully paid and nonassessable.</w:t>
      </w:r>
    </w:p>
    <w:p>
      <w:pPr>
        <w:spacing w:after="0" w:line="193" w:lineRule="exact"/>
        <w:rPr>
          <w:rFonts w:ascii="Times New Roman" w:cs="Times New Roman" w:eastAsia="Times New Roman" w:hAnsi="Times New Roman"/>
          <w:sz w:val="18"/>
          <w:szCs w:val="18"/>
          <w:color w:val="auto"/>
        </w:rPr>
      </w:pPr>
    </w:p>
    <w:p>
      <w:pPr>
        <w:jc w:val="both"/>
        <w:ind w:firstLine="656"/>
        <w:spacing w:after="0" w:line="252" w:lineRule="auto"/>
        <w:tabs>
          <w:tab w:leader="none" w:pos="167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and any required post-effective amendments thereto have all become effective under the Securities Act and (a) any and all Prospectus Supplement(s) required by applicable laws have been delivered and filed as required by such laws; (b) any applicable Purchase Agreement covering the offer and sale of the shares of Preferred Stock has been duly authorized, executed and delivered by the Company; (c) the Board has properly designated a series of Preferred Stock in accordance with the terms of the Articles and applicable laws; (d) the issuance and delivery of the shares of Preferred Stock have been duly authorized in accordance with applicable laws, including, without limitation, by the adoption of resolutions of the Board (or an authorized committee thereof); and (e) payment of legal consideration for the shares of Preferred Stock, in the manner contemplated by the Registration Statement, the Prospectus, the related Prospectus Supplement(s), and any applicable Purchase Agreement, has been received by the Company, and assuming that (i) the terms of such shares of Preferred Stock, as issued and delivered, are materially consistent with the description thereof in the Registration Statement, the Prospectus, and the related Prospectus Supplement(s); (ii) at the time of the issuance of such shares of Preferred Stock, the Company has a sufficient number of authorized but unissued shares of Preferred Stock under the Articles; (iii) such shares of Preferred Stock, as issued and delivered, comply with all requirements and restrictions, if any, applicable to the Company, whether imposed by any court, governmental agency or regulatory body having jurisdiction over the Company or otherwise; and (iv) such shares of Preferred Stock are issued and sold as contemplated in the Registration Statement, the Prospectus, the related Prospectus Supplement(s), any applicable Purchase Agreement, and such resolutions of the Board (or of an authorized committee thereof), then such shares of Preferred Stock, including any shares of Preferred Stock duly issued upon (A) the exchange or conversion of any shares of Preferred Stock that are exchangeable for or convertible into another series of Preferred Stock, (B) the exchange or conversion of any Debt Securities that are exchangeable for or convertible into shares of Preferred Stock, or (C) the exercise of Warrants that are exercisable for shares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jc w:val="both"/>
        <w:ind w:firstLine="656"/>
        <w:spacing w:after="0" w:line="252" w:lineRule="auto"/>
        <w:tabs>
          <w:tab w:leader="none" w:pos="16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and any required post-effective amendments thereto have all become effective under the Securities Act and (a) any and all Prospectus Supplement(s) required by applicable laws have been delivered and filed as required by such laws; (b) any applicable Purchase Agreement covering the offer and sale of the Debt Securities has been duly authorized, executed and delivered by the Company; (c) the issuance and delivery of the Debt Securities have been duly authorized in accordance with applicable law including, without limitation, by the adoption of resolutions of the Board (or an authorized committee thereof); (d) the Debt Securities have been duly executed, authenticated and/or countersigned (as applicable) in accordance with any applicable Purchase Agreement; (e) a trustee for the Debt Securities has been selected by the Company and qualified under the Trust Indenture Act of 1939, as amended, to the extent applicable; and (f) payment of legal consideration for the Debt Securities, in the manner contemplated by the Registration Statement, the Prospectus, the related Prospectus Supplement(s), and any applicable Purchase Agreement has been received by the Company, and assuming that (i) the terms of such Debt Securities, as issued and delivered, are materially consistent with the description thereof in the Registration Statement, the Prospectus, and the related Prospectus Supplement(s); (ii) the Debt Securities, as executed and delivered, do not violate any law applicable to the Company or result in a default under or breach of any agreement or instrument then binding upon the Company; (iii) the Debt Securities, as executed and delivered, comply with all requirements and restrictions, if any, applicable to the Company, whether imposed by any court, governmental agency or regulatory body having jurisdiction over the Company or otherwise; and (iv) the Debt Securities are issued and sold as contemplated by the Registration Statement, the Prospectus, the related Prospectus Supplement(s), any applicable Purchase Agreement, and such resolutions of the Board (or of an authorized committee thereof), then such Debt Securities, including any Debt Securities issuable upon (A) the exchange or conversion of any shares of Preferred Stock that are exchangeable for or convertible into Debt Securities, (B) the exchange or conversion of any Debt Securities that are exchangeable for or convertible into other Debt Securities, or (C) the exercise of any Warrants to purchase Debt Securities, will constitute valid and binding obligations of the Company, enforceable against the Company in accordance with their terms.</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67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and any required post-effective amendments thereto have all become effective under the Securities Act and (a) any and all Prospectus Supplement(s) required by applicable laws have been delivered and filed as required by such laws; (b) any applicable Purchase Agreement covering the offer and sale of the Warrants has been duly authorized, executed and delivered by the Company; (c) the Warrants have been duly established in accordance with the terms of any applicable Purchase Agreement; (d) the issuance and delivery of the Warrants have been duly authorized in accordance with applicable laws including, without limitation, by the adoption of resolutions of the Board (or an authorized committee thereof); (e) the Warrants have been duly executed, authenticated and/or countersigned (as applicable) in accordance with any applicable Purchase Agreement; and (f) payment of legal consideration for the Warrants (if any) in the manner contemplated by the Registration Statement, the Prospectus, the related Prospectus Supplement(s), and any applicable Purchase Agreement, has been received by the Company, and assuming that (i) the terms of the Warrants, as executed and delivered, are materially consistent with the description thereof in the Registration Statement, the Prospectus, and the related Prospectus Supplement(s); (ii) the Warrants, as executed and delivered, do not violate any law applicable to the Company or result in a default under or breach of any agreement or instrument then binding upon the Company; (iii) the Warrants, as executed and delivered, comply with all requirements and restrictions, if any, applicable to the Company, whether imposed by any court, governmental agency or regulatory body having jurisdiction over the Company or otherwise; and (iv) the Warrants are issued and sold as contemplated by the Registration Statement, the Prospectus and related Prospectus Supplement(s), any applicable Purchase Agreement and such resolutions of the Board (or of an authorized committee thereof), then such Warrants, including any Warrants issuable upon (A) the exchange or conversion of any shares of Preferred Stock that are exchangeable for or convertible into Warrants, or (B) the exchange or conversion of any Debt Securities that are exchangeable for or convertible into Warrants, will constitute valid and binding obligations of the Company, enforceable against the Company in accordance with their terms.</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opinion is expressed only with respect to the Nevada Revised Statutes. We express no opinion to the extent that any other laws are applicable to the subject matter hereof, and express no opinion and provide no assurance as to compliance with any federal or state securities law, rule or regulation.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opinions set forth in Paragraphs 3 and 4 above relating to the enforceability of the Debt Securities and Warrants, respectively, are subject to the following exceptions, limitations and qualifications: (a) the effect of bankruptcy, insolvency, reorganization, preference, fraudulent transfer, moratorium or other similar laws relating to or affecting the rights and remedies of creditors; (b) the effect of general principles of equity, whether enforcement is considered in a proceeding in equity or at law (including the possible unavailability of specific performance or injunctive relief), concepts of materiality, reasonableness, good faith and fair dealing, and the discretion of the court before which any proceeding therefor may be brought; (c) the unenforceability under certain circumstances under law or court decisions of provisions providing for the indemnification of, or contribution to, a party with respect to a liability where such indemnification or contribution is contrary to public policy; and (d) the unenforceability of any provision requiring the payment of attorneys’ fees, where such payment is contrary to law or public policy.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Exhibit 5.1 to the Registration Statement, and to the reference to our firm in the Registration Statement and any amendments or supplements thereto. In giving such consent, we do not admit that we are within the category of persons whose consent is required under Section 7 of the Securities Act or the rules and regulations thereunder.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issuance and sale of the Securities pursuant to the Registration Statement and is not to be relied upon for any other purpose or delivered to or relied upon by any other person without our prior written consent. This opinion is rendered as of the date hereof and based solely on our understanding of facts in existence as of such date after the examination described in this opinion. We assume no obligation to advise you of any fact, circumstance, event or change in the law or the facts that may hereafter be brought to our attention whether or not such occurrence would affect or modify the opinion expressed herein.</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STRADLING YOCCA CARLSON &amp; RAUTH LLP</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Stradling Yocca Carlson &amp; Rauth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3A547C"/>
        </w:rPr>
        <w:t>Stradling Yocca Carlson &amp; Rauth LLP</w:t>
      </w:r>
    </w:p>
    <w:p>
      <w:pPr>
        <w:ind w:left="5620"/>
        <w:spacing w:after="0" w:line="221" w:lineRule="auto"/>
        <w:rPr>
          <w:sz w:val="20"/>
          <w:szCs w:val="20"/>
          <w:color w:val="auto"/>
        </w:rPr>
      </w:pPr>
      <w:r>
        <w:rPr>
          <w:rFonts w:ascii="Times New Roman" w:cs="Times New Roman" w:eastAsia="Times New Roman" w:hAnsi="Times New Roman"/>
          <w:sz w:val="18"/>
          <w:szCs w:val="18"/>
          <w:color w:val="3A547C"/>
        </w:rPr>
        <w:t>660 Newport Center Drive,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91540" cy="3257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891540" cy="325755"/>
                    </a:xfrm>
                    <a:prstGeom prst="rect">
                      <a:avLst/>
                    </a:prstGeom>
                    <a:noFill/>
                  </pic:spPr>
                </pic:pic>
              </a:graphicData>
            </a:graphic>
          </wp:anchor>
        </w:drawing>
      </w:r>
    </w:p>
    <w:p>
      <w:pPr>
        <w:ind w:left="5620"/>
        <w:spacing w:after="0" w:line="219" w:lineRule="auto"/>
        <w:rPr>
          <w:sz w:val="20"/>
          <w:szCs w:val="20"/>
          <w:color w:val="auto"/>
        </w:rPr>
      </w:pPr>
      <w:r>
        <w:rPr>
          <w:rFonts w:ascii="Times New Roman" w:cs="Times New Roman" w:eastAsia="Times New Roman" w:hAnsi="Times New Roman"/>
          <w:sz w:val="18"/>
          <w:szCs w:val="18"/>
          <w:color w:val="3A547C"/>
        </w:rPr>
        <w:t>Newport Beach, CA 92660</w:t>
      </w:r>
    </w:p>
    <w:p>
      <w:pPr>
        <w:ind w:left="5620"/>
        <w:spacing w:after="0" w:line="219" w:lineRule="auto"/>
        <w:rPr>
          <w:sz w:val="20"/>
          <w:szCs w:val="20"/>
          <w:color w:val="auto"/>
        </w:rPr>
      </w:pPr>
      <w:r>
        <w:rPr>
          <w:rFonts w:ascii="Times New Roman" w:cs="Times New Roman" w:eastAsia="Times New Roman" w:hAnsi="Times New Roman"/>
          <w:sz w:val="18"/>
          <w:szCs w:val="18"/>
          <w:color w:val="3A547C"/>
        </w:rPr>
        <w:t>949 725 4000</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3A547C"/>
        </w:rPr>
        <w:t>stradlinglaw.com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Expion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SW Deerhound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Redmond, Oregon 97756</w:t>
      </w:r>
    </w:p>
    <w:p>
      <w:pPr>
        <w:spacing w:after="0" w:line="205"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Securities Registered under Registration Statement on Form S-3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proposed offer and sale by Expion Energy, Inc.,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of shares of the Company’s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a Registration Statement on Form S-3,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October 23, 2026 (as such may be amended or supplemented from time to time,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base prospectus included in the Registration Statement, which covers the offering, issuance and sale of up to an aggregate of $50,000,000 of Common Stock, preferred stock, debt securities and/or warrants of the Company (as such may be amended from time to time,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a prospectus supplement filed by the Company with the Commission on October 23, 2026, which covers the issuance and sale of up to an aggregate of $1,666,183 of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in a manner constituting an “at the market offering” as defined in Rule 415 of the Securities Act of 1933, as amended (the “Securities Act”) (as such may be amended or supplemented from time to time,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We understand the Shares are proposed to be offered and sold by the Company to or through H.C. Wainwright &amp; Co., LLC (the “</w:t>
      </w:r>
      <w:r>
        <w:rPr>
          <w:rFonts w:ascii="Times New Roman" w:cs="Times New Roman" w:eastAsia="Times New Roman" w:hAnsi="Times New Roman"/>
          <w:sz w:val="18"/>
          <w:szCs w:val="18"/>
          <w:b w:val="1"/>
          <w:bCs w:val="1"/>
          <w:i w:val="1"/>
          <w:iCs w:val="1"/>
          <w:color w:val="auto"/>
        </w:rPr>
        <w:t>Sales Agent</w:t>
      </w:r>
      <w:r>
        <w:rPr>
          <w:rFonts w:ascii="Times New Roman" w:cs="Times New Roman" w:eastAsia="Times New Roman" w:hAnsi="Times New Roman"/>
          <w:sz w:val="18"/>
          <w:szCs w:val="18"/>
          <w:color w:val="auto"/>
        </w:rPr>
        <w:t>”), pursuant to that certain At-The-Market Issuance Sales Agreement, dated October 23, 2026 (the “</w:t>
      </w:r>
      <w:r>
        <w:rPr>
          <w:rFonts w:ascii="Times New Roman" w:cs="Times New Roman" w:eastAsia="Times New Roman" w:hAnsi="Times New Roman"/>
          <w:sz w:val="18"/>
          <w:szCs w:val="18"/>
          <w:b w:val="1"/>
          <w:bCs w:val="1"/>
          <w:i w:val="1"/>
          <w:iCs w:val="1"/>
          <w:color w:val="auto"/>
        </w:rPr>
        <w:t>ATM Agreement</w:t>
      </w:r>
      <w:r>
        <w:rPr>
          <w:rFonts w:ascii="Times New Roman" w:cs="Times New Roman" w:eastAsia="Times New Roman" w:hAnsi="Times New Roman"/>
          <w:sz w:val="18"/>
          <w:szCs w:val="18"/>
          <w:color w:val="auto"/>
        </w:rPr>
        <w:t>”), by and between the Company and the Sales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opinion, we have examined such documents and considered such questions of law as we have deemed necessary or appropriate. We have assumed the authenticity of all documents submitted to us as originals, the conformity to originals of all documents submitted to us as copies thereof and the genuineness of all signatures. As to questions of fact material to our opinions, we have relied upon the certificates of certain officers of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issued and sold in the manner described in the Registration Statement, the Prospectus and the Sales Agreement, will be validly issued, fully paid and non-assessable, provided that, at the time of the issuance of such Shares, the Company has a sufficient number of authorized but unissued shares of Common Stock under the Company’s Articles of Incorporation.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opinion assumes that, at the time of each issuance and sale of Shares under the Sales Agreement, the Company will have a sufficient number of authorized but unissued shares of Common Stock under the Company’s Articles of Incorporation.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Company’s Current Report on Form 8-K to be filed with the Commission, and further consent to the use of our name under the caption entitled “Legal Matters” in the Prospectus. In giving such consent, we do not hereby admit that we are within the category of persons whose consent is required under Section 7 of the Securities Act or the rules and regulations thereunder.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issuance and sale of the Shares pursuant to the Registration Statement and the Prospectus and is not to be relied upon for any other purpose or delivered to or relied upon by any other person without our prior written consent. This opinion is rendered as of the date hereof and based solely on our understanding of facts in existence as of such date after the examination described in this opinion. We assume no obligation to advise you of any fact, circumstance, event or change in the law or the facts that may hereafter be brought to our attention whether or not such occurrence would affect or modify the opinions expressed herein.</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STRADLING YOCCA CARLSON &amp; RAUTH LLP</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Stradling Yocca Carlson &amp; Rauth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13970</wp:posOffset>
            </wp:positionV>
            <wp:extent cx="3282950" cy="128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328295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our report dated March 16, 2026, which appeared in the Expion360, Inc. Annual report on form 10-K relating to the audits of the financial statements as of December 31, 2025 and 2024 and for the periods then ended. We also consent to the reference to our firm under the caption “Experts” in the Registration Statement.</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M&amp;K CPA</w:t>
      </w:r>
      <w:r>
        <w:rPr>
          <w:rFonts w:ascii="Arial" w:cs="Arial" w:eastAsia="Arial" w:hAnsi="Arial"/>
          <w:sz w:val="18"/>
          <w:szCs w:val="18"/>
          <w:i w:val="1"/>
          <w:iCs w:val="1"/>
          <w:color w:val="auto"/>
        </w:rPr>
        <w:t>’</w:t>
      </w:r>
      <w:r>
        <w:rPr>
          <w:rFonts w:ascii="Times New Roman" w:cs="Times New Roman" w:eastAsia="Times New Roman" w:hAnsi="Times New Roman"/>
          <w:sz w:val="18"/>
          <w:szCs w:val="18"/>
          <w:i w:val="1"/>
          <w:iCs w:val="1"/>
          <w:color w:val="auto"/>
        </w:rPr>
        <w:t>s, PLLC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TX</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2026</w:t>
      </w:r>
    </w:p>
    <w:p>
      <w:pPr>
        <w:sectPr>
          <w:pgSz w:w="11900" w:h="16838" w:orient="portrait"/>
          <w:cols w:equalWidth="0" w:num="1">
            <w:col w:w="11240"/>
          </w:cols>
          <w:pgMar w:left="320" w:top="108"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Expion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8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7"/>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9"/>
          </w:tcPr>
          <w:p>
            <w:pPr>
              <w:ind w:left="102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8"/>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0.000087</w:t>
            </w: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value $0.001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8"/>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8"/>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98"/>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Unallocated (Universal) Shelf</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50,000,000.00</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0.000087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8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80" w:type="dxa"/>
            <w:vAlign w:val="bottom"/>
            <w:gridSpan w:val="9"/>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50,000,000.00</w:t>
            </w:r>
          </w:p>
        </w:tc>
        <w:tc>
          <w:tcPr>
            <w:tcW w:w="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4,350.00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4,350.00</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6" w:lineRule="auto"/>
        <w:tabs>
          <w:tab w:leader="none" w:pos="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the securities being registered hereunder shall be deemed to include an indeterminate number of shares of common stock, shares of preferred stock, warrants, and units to be issued or issuable with respect to the securities registered hereunder as a result of any stock splits, stock dividends or similar transactions.</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Instruction 2.A.iii.b. of Item 16(b) of Form S-3, this information is not specified as to each class of securities to be registered. There is being registered hereby such indeterminate number of the securities of each identified class as may from time to time be issued at indeterminate prices. Securities registered hereunder may be sold separately, or in combination with other securities registered hereunder.</w:t>
      </w:r>
    </w:p>
    <w:p>
      <w:pPr>
        <w:spacing w:after="0" w:line="67" w:lineRule="exact"/>
        <w:rPr>
          <w:rFonts w:ascii="Times New Roman" w:cs="Times New Roman" w:eastAsia="Times New Roman" w:hAnsi="Times New Roman"/>
          <w:sz w:val="18"/>
          <w:szCs w:val="18"/>
          <w:color w:val="auto"/>
        </w:rPr>
      </w:pPr>
    </w:p>
    <w:p>
      <w:pPr>
        <w:ind w:left="360" w:hanging="292"/>
        <w:spacing w:after="0"/>
        <w:tabs>
          <w:tab w:leader="none" w:pos="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Table 2 for the calculation of the total fee offsets.</w:t>
      </w:r>
    </w:p>
    <w:p>
      <w:pPr>
        <w:spacing w:after="0" w:line="117"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has been estimated solely to calculate the registration fee in accordance with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2: Fee Offset Claims and Sources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Unsold</w:t>
            </w: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Unsold Aggregate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Title</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Paid</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Offering Amount</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 or</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File</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Initial Filing</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 Offset</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Associated with</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0" w:type="dxa"/>
            <w:vAlign w:val="bottom"/>
          </w:tcPr>
          <w:p>
            <w:pPr>
              <w:spacing w:after="0"/>
              <w:rPr>
                <w:sz w:val="1"/>
                <w:szCs w:val="1"/>
                <w:color w:val="auto"/>
              </w:rPr>
            </w:pPr>
          </w:p>
        </w:tc>
      </w:tr>
      <w:tr>
        <w:trPr>
          <w:trHeight w:val="149"/>
        </w:trPr>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6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c>
          <w:tcPr>
            <w:tcW w:w="7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2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Fee Offset</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0" w:type="dxa"/>
            <w:vAlign w:val="bottom"/>
          </w:tcPr>
          <w:p>
            <w:pPr>
              <w:spacing w:after="0"/>
              <w:rPr>
                <w:sz w:val="1"/>
                <w:szCs w:val="1"/>
                <w:color w:val="auto"/>
              </w:rPr>
            </w:pPr>
          </w:p>
        </w:tc>
      </w:tr>
      <w:tr>
        <w:trPr>
          <w:trHeight w:val="173"/>
        </w:trPr>
        <w:tc>
          <w:tcPr>
            <w:tcW w:w="14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Filer Name</w:t>
            </w:r>
          </w:p>
        </w:tc>
        <w:tc>
          <w:tcPr>
            <w:tcW w:w="60" w:type="dxa"/>
            <w:vAlign w:val="bottom"/>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Notes  Type</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40" w:type="dxa"/>
            <w:vAlign w:val="bottom"/>
            <w:gridSpan w:val="2"/>
            <w:vMerge w:val="continue"/>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ectPr>
          <w:pgSz w:w="11900" w:h="16838" w:orient="portrait"/>
          <w:cols w:equalWidth="0" w:num="1">
            <w:col w:w="11240"/>
          </w:cols>
          <w:pgMar w:left="320" w:top="108" w:right="339" w:bottom="1090" w:gutter="0" w:footer="0" w:header="0"/>
        </w:sectPr>
      </w:pPr>
    </w:p>
    <w:tbl>
      <w:tblPr>
        <w:tblLayout w:type="fixed"/>
        <w:tblInd w:w="0" w:type="dxa"/>
        <w:tblCellMar>
          <w:top w:w="0" w:type="dxa"/>
          <w:left w:w="0" w:type="dxa"/>
          <w:bottom w:w="0" w:type="dxa"/>
          <w:right w:w="0" w:type="dxa"/>
        </w:tblCellMar>
      </w:tblPr>
      <w:tr>
        <w:trPr>
          <w:trHeight w:val="236"/>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4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w w:val="99"/>
              </w:rPr>
              <w:t>Rules 457(b) and 0-11(a)(2)</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20" w:type="dxa"/>
            <w:vAlign w:val="bottom"/>
          </w:tcPr>
          <w:p>
            <w:pPr>
              <w:jc w:val="center"/>
              <w:ind w:right="1370"/>
              <w:spacing w:after="0"/>
              <w:rPr>
                <w:sz w:val="20"/>
                <w:szCs w:val="20"/>
                <w:color w:val="auto"/>
              </w:rPr>
            </w:pPr>
            <w:r>
              <w:rPr>
                <w:rFonts w:ascii="Times New Roman" w:cs="Times New Roman" w:eastAsia="Times New Roman" w:hAnsi="Times New Roman"/>
                <w:sz w:val="18"/>
                <w:szCs w:val="18"/>
                <w:i w:val="1"/>
                <w:iCs w:val="1"/>
                <w:color w:val="auto"/>
              </w:rPr>
              <w:t>Rule 457(p)</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Common</w:t>
            </w:r>
          </w:p>
        </w:tc>
        <w:tc>
          <w:tcPr>
            <w:tcW w:w="0" w:type="dxa"/>
            <w:vAlign w:val="bottom"/>
          </w:tcPr>
          <w:p>
            <w:pPr>
              <w:spacing w:after="0"/>
              <w:rPr>
                <w:sz w:val="1"/>
                <w:szCs w:val="1"/>
                <w:color w:val="auto"/>
              </w:rPr>
            </w:pPr>
          </w:p>
        </w:tc>
      </w:tr>
      <w:tr>
        <w:trPr>
          <w:trHeight w:val="288"/>
        </w:trPr>
        <w:tc>
          <w:tcPr>
            <w:tcW w:w="1420" w:type="dxa"/>
            <w:vAlign w:val="bottom"/>
          </w:tcPr>
          <w:p>
            <w:pPr>
              <w:spacing w:after="0"/>
              <w:rPr>
                <w:sz w:val="24"/>
                <w:szCs w:val="24"/>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Expion360</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920" w:type="dxa"/>
            <w:vAlign w:val="bottom"/>
          </w:tcPr>
          <w:p>
            <w:pPr>
              <w:spacing w:after="0"/>
              <w:rPr>
                <w:sz w:val="24"/>
                <w:szCs w:val="24"/>
                <w:color w:val="auto"/>
              </w:rPr>
            </w:pPr>
          </w:p>
        </w:tc>
        <w:tc>
          <w:tcPr>
            <w:tcW w:w="27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Unallocated</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144"/>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Fee Offset Claims</w:t>
            </w:r>
          </w:p>
        </w:tc>
        <w:tc>
          <w:tcPr>
            <w:tcW w:w="1020" w:type="dxa"/>
            <w:vAlign w:val="bottom"/>
            <w:vMerge w:val="continue"/>
          </w:tcPr>
          <w:p>
            <w:pPr>
              <w:spacing w:after="0"/>
              <w:rPr>
                <w:sz w:val="12"/>
                <w:szCs w:val="12"/>
                <w:color w:val="auto"/>
              </w:rPr>
            </w:pP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S-3</w:t>
            </w:r>
          </w:p>
        </w:tc>
        <w:tc>
          <w:tcPr>
            <w:tcW w:w="700" w:type="dxa"/>
            <w:vAlign w:val="bottom"/>
            <w:vMerge w:val="continue"/>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06/27/2023</w:t>
            </w:r>
          </w:p>
        </w:tc>
        <w:tc>
          <w:tcPr>
            <w:tcW w:w="2720" w:type="dxa"/>
            <w:vAlign w:val="bottom"/>
            <w:vMerge w:val="restart"/>
          </w:tcPr>
          <w:p>
            <w:pPr>
              <w:ind w:left="980"/>
              <w:spacing w:after="0"/>
              <w:rPr>
                <w:sz w:val="20"/>
                <w:szCs w:val="20"/>
                <w:color w:val="auto"/>
              </w:rPr>
            </w:pPr>
            <w:r>
              <w:rPr>
                <w:rFonts w:ascii="Times New Roman" w:cs="Times New Roman" w:eastAsia="Times New Roman" w:hAnsi="Times New Roman"/>
                <w:sz w:val="18"/>
                <w:szCs w:val="18"/>
                <w:color w:val="auto"/>
              </w:rPr>
              <w:t>$ 4,350.00 (Universal)</w:t>
            </w:r>
          </w:p>
        </w:tc>
        <w:tc>
          <w:tcPr>
            <w:tcW w:w="720" w:type="dxa"/>
            <w:vAlign w:val="bottom"/>
          </w:tcPr>
          <w:p>
            <w:pPr>
              <w:ind w:left="40"/>
              <w:spacing w:after="0" w:line="144" w:lineRule="exact"/>
              <w:rPr>
                <w:sz w:val="20"/>
                <w:szCs w:val="20"/>
                <w:color w:val="auto"/>
              </w:rPr>
            </w:pPr>
            <w:r>
              <w:rPr>
                <w:rFonts w:ascii="Times New Roman" w:cs="Times New Roman" w:eastAsia="Times New Roman" w:hAnsi="Times New Roman"/>
                <w:sz w:val="16"/>
                <w:szCs w:val="16"/>
                <w:color w:val="auto"/>
              </w:rPr>
              <w:t>Preferred</w:t>
            </w:r>
          </w:p>
        </w:tc>
        <w:tc>
          <w:tcPr>
            <w:tcW w:w="0" w:type="dxa"/>
            <w:vAlign w:val="bottom"/>
          </w:tcPr>
          <w:p>
            <w:pPr>
              <w:spacing w:after="0"/>
              <w:rPr>
                <w:sz w:val="1"/>
                <w:szCs w:val="1"/>
                <w:color w:val="auto"/>
              </w:rPr>
            </w:pPr>
          </w:p>
        </w:tc>
      </w:tr>
      <w:tr>
        <w:trPr>
          <w:trHeight w:val="180"/>
        </w:trPr>
        <w:tc>
          <w:tcPr>
            <w:tcW w:w="1420" w:type="dxa"/>
            <w:vAlign w:val="bottom"/>
            <w:vMerge w:val="continue"/>
          </w:tcPr>
          <w:p>
            <w:pPr>
              <w:spacing w:after="0"/>
              <w:rPr>
                <w:sz w:val="15"/>
                <w:szCs w:val="15"/>
                <w:color w:val="auto"/>
              </w:rPr>
            </w:pPr>
          </w:p>
        </w:tc>
        <w:tc>
          <w:tcPr>
            <w:tcW w:w="10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Inc.</w:t>
            </w:r>
          </w:p>
        </w:tc>
        <w:tc>
          <w:tcPr>
            <w:tcW w:w="5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272956</w:t>
            </w:r>
          </w:p>
        </w:tc>
        <w:tc>
          <w:tcPr>
            <w:tcW w:w="9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7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Shelf</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3"/>
              </w:rPr>
              <w:t>Warrants,</w:t>
            </w:r>
          </w:p>
        </w:tc>
        <w:tc>
          <w:tcPr>
            <w:tcW w:w="0" w:type="dxa"/>
            <w:vAlign w:val="bottom"/>
          </w:tcPr>
          <w:p>
            <w:pPr>
              <w:spacing w:after="0"/>
              <w:rPr>
                <w:sz w:val="1"/>
                <w:szCs w:val="1"/>
                <w:color w:val="auto"/>
              </w:rPr>
            </w:pPr>
          </w:p>
        </w:tc>
      </w:tr>
      <w:tr>
        <w:trPr>
          <w:trHeight w:val="36"/>
        </w:trPr>
        <w:tc>
          <w:tcPr>
            <w:tcW w:w="1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1420" w:type="dxa"/>
            <w:vAlign w:val="bottom"/>
          </w:tcPr>
          <w:p>
            <w:pPr>
              <w:spacing w:after="0"/>
              <w:rPr>
                <w:sz w:val="20"/>
                <w:szCs w:val="20"/>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Expion360</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Units</w:t>
            </w:r>
          </w:p>
        </w:tc>
        <w:tc>
          <w:tcPr>
            <w:tcW w:w="0" w:type="dxa"/>
            <w:vAlign w:val="bottom"/>
          </w:tcPr>
          <w:p>
            <w:pPr>
              <w:spacing w:after="0"/>
              <w:rPr>
                <w:sz w:val="1"/>
                <w:szCs w:val="1"/>
                <w:color w:val="auto"/>
              </w:rPr>
            </w:pPr>
          </w:p>
        </w:tc>
      </w:tr>
      <w:tr>
        <w:trPr>
          <w:trHeight w:val="198"/>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Fee Offset Sources</w:t>
            </w:r>
          </w:p>
        </w:tc>
        <w:tc>
          <w:tcPr>
            <w:tcW w:w="1020" w:type="dxa"/>
            <w:vAlign w:val="bottom"/>
            <w:vMerge w:val="continue"/>
          </w:tcPr>
          <w:p>
            <w:pPr>
              <w:spacing w:after="0"/>
              <w:rPr>
                <w:sz w:val="17"/>
                <w:szCs w:val="17"/>
                <w:color w:val="auto"/>
              </w:rPr>
            </w:pP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S-3</w:t>
            </w:r>
          </w:p>
        </w:tc>
        <w:tc>
          <w:tcPr>
            <w:tcW w:w="7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72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06/27/2023</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vMerge w:val="continue"/>
          </w:tcPr>
          <w:p>
            <w:pPr>
              <w:spacing w:after="0"/>
              <w:rPr>
                <w:sz w:val="20"/>
                <w:szCs w:val="20"/>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50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272956</w:t>
            </w:r>
          </w:p>
        </w:tc>
        <w:tc>
          <w:tcPr>
            <w:tcW w:w="92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457(p) Statement of Withdrawal, Termination, or Completion: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0 $ 48,678,497.00 $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4,350.00</w:t>
      </w:r>
    </w:p>
    <w:p>
      <w:pPr>
        <w:spacing w:after="0" w:line="711" w:lineRule="exact"/>
        <w:rPr>
          <w:sz w:val="20"/>
          <w:szCs w:val="20"/>
          <w:color w:val="auto"/>
        </w:rPr>
      </w:pPr>
    </w:p>
    <w:p>
      <w:pPr>
        <w:sectPr>
          <w:pgSz w:w="11900" w:h="16838" w:orient="portrait"/>
          <w:cols w:equalWidth="0" w:num="2">
            <w:col w:w="8440" w:space="660"/>
            <w:col w:w="2140"/>
          </w:cols>
          <w:pgMar w:left="320" w:top="108" w:right="339" w:bottom="1090" w:gutter="0" w:footer="0" w:header="0"/>
          <w:type w:val="continuous"/>
        </w:sectPr>
      </w:pPr>
    </w:p>
    <w:p>
      <w:pPr>
        <w:jc w:val="both"/>
        <w:ind w:left="360" w:hanging="292"/>
        <w:spacing w:after="0" w:line="258" w:lineRule="auto"/>
        <w:tabs>
          <w:tab w:leader="none" w:pos="3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457(p) under the Securities Act, the registrant is offsetting $5,364.37 of the fee associated with this registration statement from the fee previously paid by the registrant associated with the unsold securities registered under the registrant's prior unallocated (universal) shelf registration statement on Form S-3 originally filed on June 27, 2023 (File No. 333-272956) (the “Prior Registration Statement”), which has expired because more than three years have elapsed since the initial effective date of the Prior Registration Statement and all offerings thereunder have been completed or terminated. $48,678,4 of aggregate maximum amount remain unsold as of the time the Prior Registration Statement expired.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Offset Note(s):</w:t>
      </w:r>
    </w:p>
    <w:p>
      <w:pPr>
        <w:spacing w:after="0" w:line="102" w:lineRule="exact"/>
        <w:rPr>
          <w:sz w:val="20"/>
          <w:szCs w:val="20"/>
          <w:color w:val="auto"/>
        </w:rPr>
      </w:pPr>
    </w:p>
    <w:p>
      <w:pPr>
        <w:jc w:val="both"/>
        <w:ind w:left="360" w:hanging="292"/>
        <w:spacing w:after="0" w:line="261" w:lineRule="auto"/>
        <w:tabs>
          <w:tab w:leader="none" w:pos="3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 accordance with Rule 457(p) under the Securities Act, the registrant is offsetting $5,364.37 of the fee associated with this registration statement from the fee previously paid by the registrant associated with the unsold securities registered under the Prior Registration Statement, which has expired because more than three years have elapsed since the initial effective date of the Prior Registration Statement and all offerings thereunder have been completed or terminated. $48,678,497 of aggregate maximum amount remain unsold as of the time the Prior Registration Statement expired.</w:t>
      </w:r>
    </w:p>
    <w:sectPr>
      <w:pgSz w:w="11900" w:h="16838" w:orient="portrait"/>
      <w:cols w:equalWidth="0" w:num="1">
        <w:col w:w="11240"/>
      </w:cols>
      <w:pgMar w:left="320" w:top="108" w:right="339" w:bottom="10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1)"/>
      <w:numFmt w:val="lowerRoman"/>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1)"/>
      <w:numFmt w:val="decimal"/>
      <w:start w:val="1"/>
    </w:lvl>
  </w:abstractNum>
  <w:abstractNum w:abstractNumId="35">
    <w:nsid w:val="6EB5BD4"/>
    <w:multiLevelType w:val="hybridMultilevel"/>
    <w:lvl w:ilvl="0">
      <w:lvlJc w:val="left"/>
      <w:lvlText w:val="(%1)"/>
      <w:numFmt w:val="lowerRoman"/>
      <w:start w:val="2"/>
    </w:lvl>
    <w:lvl w:ilvl="1">
      <w:lvlJc w:val="left"/>
      <w:lvlText w:val="(%2)"/>
      <w:numFmt w:val="lowerRoman"/>
      <w:start w:val="3"/>
    </w:lvl>
  </w:abstractNum>
  <w:abstractNum w:abstractNumId="36">
    <w:nsid w:val="6F6DD9AC"/>
    <w:multiLevelType w:val="hybridMultilevel"/>
    <w:lvl w:ilvl="0">
      <w:lvlJc w:val="left"/>
      <w:lvlText w:val="(%1)"/>
      <w:numFmt w:val="decimal"/>
      <w:start w:val="2"/>
    </w:lvl>
    <w:lvl w:ilvl="1">
      <w:lvlJc w:val="left"/>
      <w:lvlText w:val="(%2)"/>
      <w:numFmt w:val="lowerRoman"/>
      <w:start w:val="1"/>
    </w:lvl>
  </w:abstractNum>
  <w:abstractNum w:abstractNumId="37">
    <w:nsid w:val="94211F2"/>
    <w:multiLevelType w:val="hybridMultilevel"/>
    <w:lvl w:ilvl="0">
      <w:lvlJc w:val="left"/>
      <w:lvlText w:val="(%1)"/>
      <w:numFmt w:val="decimal"/>
      <w:start w:val="5"/>
    </w:lvl>
    <w:lvl w:ilvl="1">
      <w:lvlJc w:val="left"/>
      <w:lvlText w:val="(%2)"/>
      <w:numFmt w:val="lowerRoman"/>
      <w:start w:val="1"/>
    </w:lvl>
  </w:abstractNum>
  <w:abstractNum w:abstractNumId="38">
    <w:nsid w:val="885E1B"/>
    <w:multiLevelType w:val="hybridMultilevel"/>
    <w:lvl w:ilvl="0">
      <w:lvlJc w:val="left"/>
      <w:lvlText w:val="(%1)"/>
      <w:numFmt w:val="lowerLetter"/>
      <w:start w:val="1"/>
    </w:lvl>
  </w:abstractNum>
  <w:abstractNum w:abstractNumId="39">
    <w:nsid w:val="76272110"/>
    <w:multiLevelType w:val="hybridMultilevel"/>
    <w:lvl w:ilvl="0">
      <w:lvlJc w:val="left"/>
      <w:lvlText w:val="(%1)"/>
      <w:numFmt w:val="lowerLetter"/>
      <w:start w:val="1"/>
    </w:lvl>
  </w:abstractNum>
  <w:abstractNum w:abstractNumId="40">
    <w:nsid w:val="4C04A8AF"/>
    <w:multiLevelType w:val="hybridMultilevel"/>
    <w:lvl w:ilvl="0">
      <w:lvlJc w:val="left"/>
      <w:lvlText w:val="(%1)"/>
      <w:numFmt w:val="lowerLetter"/>
      <w:start w:val="2"/>
    </w:lvl>
  </w:abstractNum>
  <w:abstractNum w:abstractNumId="41">
    <w:nsid w:val="1716703B"/>
    <w:multiLevelType w:val="hybridMultilevel"/>
    <w:lvl w:ilvl="0">
      <w:lvlJc w:val="left"/>
      <w:lvlText w:val="(%1)"/>
      <w:numFmt w:val="lowerLetter"/>
      <w:start w:val="4"/>
    </w:lvl>
  </w:abstractNum>
  <w:abstractNum w:abstractNumId="42">
    <w:nsid w:val="14E17E33"/>
    <w:multiLevelType w:val="hybridMultilevel"/>
    <w:lvl w:ilvl="0">
      <w:lvlJc w:val="left"/>
      <w:lvlText w:val="(%1)"/>
      <w:numFmt w:val="lowerLetter"/>
      <w:start w:val="7"/>
    </w:lvl>
  </w:abstractNum>
  <w:abstractNum w:abstractNumId="43">
    <w:nsid w:val="3222E7CD"/>
    <w:multiLevelType w:val="hybridMultilevel"/>
    <w:lvl w:ilvl="0">
      <w:lvlJc w:val="left"/>
      <w:lvlText w:val="%1"/>
      <w:numFmt w:val="lowerLetter"/>
      <w:start w:val="1"/>
    </w:lvl>
    <w:lvl w:ilvl="1">
      <w:lvlJc w:val="left"/>
      <w:lvlText w:val="(%2)"/>
      <w:numFmt w:val="lowerLetter"/>
      <w:start w:val="11"/>
    </w:lvl>
  </w:abstractNum>
  <w:abstractNum w:abstractNumId="44">
    <w:nsid w:val="74DE0EE3"/>
    <w:multiLevelType w:val="hybridMultilevel"/>
    <w:lvl w:ilvl="0">
      <w:lvlJc w:val="left"/>
      <w:lvlText w:val="(%1)"/>
      <w:numFmt w:val="lowerLetter"/>
      <w:start w:val="61"/>
    </w:lvl>
    <w:lvl w:ilvl="1">
      <w:lvlJc w:val="left"/>
      <w:lvlText w:val="(%2)"/>
      <w:numFmt w:val="lowerLetter"/>
      <w:start w:val="15"/>
    </w:lvl>
  </w:abstractNum>
  <w:abstractNum w:abstractNumId="45">
    <w:nsid w:val="68EBC550"/>
    <w:multiLevelType w:val="hybridMultilevel"/>
    <w:lvl w:ilvl="0">
      <w:lvlJc w:val="left"/>
      <w:lvlText w:val="%1"/>
      <w:numFmt w:val="upperLetter"/>
      <w:start w:val="1"/>
    </w:lvl>
    <w:lvl w:ilvl="1">
      <w:lvlJc w:val="left"/>
      <w:lvlText w:val="(%2)"/>
      <w:numFmt w:val="lowerLetter"/>
      <w:start w:val="16"/>
    </w:lvl>
  </w:abstractNum>
  <w:abstractNum w:abstractNumId="46">
    <w:nsid w:val="2DF6D648"/>
    <w:multiLevelType w:val="hybridMultilevel"/>
    <w:lvl w:ilvl="0">
      <w:lvlJc w:val="left"/>
      <w:lvlText w:val="(%1)"/>
      <w:numFmt w:val="upperLetter"/>
      <w:start w:val="3"/>
    </w:lvl>
    <w:lvl w:ilvl="1">
      <w:lvlJc w:val="left"/>
      <w:lvlText w:val="(%2)"/>
      <w:numFmt w:val="lowerLetter"/>
      <w:start w:val="19"/>
    </w:lvl>
  </w:abstractNum>
  <w:abstractNum w:abstractNumId="47">
    <w:nsid w:val="46B7D447"/>
    <w:multiLevelType w:val="hybridMultilevel"/>
    <w:lvl w:ilvl="0">
      <w:lvlJc w:val="left"/>
      <w:lvlText w:val="(%1)"/>
      <w:numFmt w:val="lowerLetter"/>
      <w:start w:val="20"/>
    </w:lvl>
  </w:abstractNum>
  <w:abstractNum w:abstractNumId="48">
    <w:nsid w:val="4A2AC315"/>
    <w:multiLevelType w:val="hybridMultilevel"/>
    <w:lvl w:ilvl="0">
      <w:lvlJc w:val="left"/>
      <w:lvlText w:val="(%1)"/>
      <w:numFmt w:val="lowerLetter"/>
      <w:start w:val="24"/>
    </w:lvl>
  </w:abstractNum>
  <w:abstractNum w:abstractNumId="49">
    <w:nsid w:val="39EE015C"/>
    <w:multiLevelType w:val="hybridMultilevel"/>
    <w:lvl w:ilvl="0">
      <w:lvlJc w:val="left"/>
      <w:lvlText w:val="(%1)"/>
      <w:numFmt w:val="lowerLetter"/>
      <w:start w:val="27"/>
    </w:lvl>
  </w:abstractNum>
  <w:abstractNum w:abstractNumId="50">
    <w:nsid w:val="57FC4FBB"/>
    <w:multiLevelType w:val="hybridMultilevel"/>
    <w:lvl w:ilvl="0">
      <w:lvlJc w:val="left"/>
      <w:lvlText w:val="%1"/>
      <w:numFmt w:val="lowerLetter"/>
      <w:start w:val="1"/>
    </w:lvl>
    <w:lvl w:ilvl="1">
      <w:lvlJc w:val="left"/>
      <w:lvlText w:val="(%2)"/>
      <w:numFmt w:val="lowerLetter"/>
      <w:start w:val="28"/>
    </w:lvl>
  </w:abstractNum>
  <w:abstractNum w:abstractNumId="51">
    <w:nsid w:val="CC1016F"/>
    <w:multiLevelType w:val="hybridMultilevel"/>
    <w:lvl w:ilvl="0">
      <w:lvlJc w:val="left"/>
      <w:lvlText w:val="(%1)"/>
      <w:numFmt w:val="lowerLetter"/>
      <w:start w:val="61"/>
    </w:lvl>
    <w:lvl w:ilvl="1">
      <w:lvlJc w:val="left"/>
      <w:lvlText w:val="%2"/>
      <w:numFmt w:val="lowerLetter"/>
      <w:start w:val="1"/>
    </w:lvl>
  </w:abstractNum>
  <w:abstractNum w:abstractNumId="52">
    <w:nsid w:val="43F18422"/>
    <w:multiLevelType w:val="hybridMultilevel"/>
    <w:lvl w:ilvl="0">
      <w:lvlJc w:val="left"/>
      <w:lvlText w:val="(%1)"/>
      <w:numFmt w:val="lowerLetter"/>
      <w:start w:val="30"/>
    </w:lvl>
  </w:abstractNum>
  <w:abstractNum w:abstractNumId="53">
    <w:nsid w:val="60EF0119"/>
    <w:multiLevelType w:val="hybridMultilevel"/>
    <w:lvl w:ilvl="0">
      <w:lvlJc w:val="left"/>
      <w:lvlText w:val="(%1)"/>
      <w:numFmt w:val="lowerLetter"/>
      <w:start w:val="36"/>
    </w:lvl>
  </w:abstractNum>
  <w:abstractNum w:abstractNumId="54">
    <w:nsid w:val="26F324BA"/>
    <w:multiLevelType w:val="hybridMultilevel"/>
    <w:lvl w:ilvl="0">
      <w:lvlJc w:val="left"/>
      <w:lvlText w:val="%1"/>
      <w:numFmt w:val="lowerLetter"/>
      <w:start w:val="1"/>
    </w:lvl>
    <w:lvl w:ilvl="1">
      <w:lvlJc w:val="left"/>
      <w:lvlText w:val="(%2)"/>
      <w:numFmt w:val="lowerLetter"/>
      <w:start w:val="41"/>
    </w:lvl>
    <w:lvl w:ilvl="2">
      <w:lvlJc w:val="left"/>
      <w:lvlText w:val="%3"/>
      <w:numFmt w:val="lowerLetter"/>
      <w:start w:val="1"/>
    </w:lvl>
  </w:abstractNum>
  <w:abstractNum w:abstractNumId="55">
    <w:nsid w:val="7F01579B"/>
    <w:multiLevelType w:val="hybridMultilevel"/>
    <w:lvl w:ilvl="0">
      <w:lvlJc w:val="left"/>
      <w:lvlText w:val="(%1)"/>
      <w:numFmt w:val="lowerLetter"/>
      <w:start w:val="35"/>
    </w:lvl>
    <w:lvl w:ilvl="1">
      <w:lvlJc w:val="left"/>
      <w:lvlText w:val="(%2)"/>
      <w:numFmt w:val="lowerLetter"/>
      <w:start w:val="44"/>
    </w:lvl>
    <w:lvl w:ilvl="2">
      <w:lvlJc w:val="left"/>
      <w:lvlText w:val="(%3)"/>
      <w:numFmt w:val="lowerLetter"/>
      <w:start w:val="9"/>
    </w:lvl>
  </w:abstractNum>
  <w:abstractNum w:abstractNumId="56">
    <w:nsid w:val="49DA307D"/>
    <w:multiLevelType w:val="hybridMultilevel"/>
    <w:lvl w:ilvl="0">
      <w:lvlJc w:val="left"/>
      <w:lvlText w:val="(%1)"/>
      <w:numFmt w:val="decimal"/>
      <w:start w:val="1"/>
    </w:lvl>
  </w:abstractNum>
  <w:abstractNum w:abstractNumId="57">
    <w:nsid w:val="7055A5F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58">
    <w:nsid w:val="5FB8370B"/>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59">
    <w:nsid w:val="50801EE1"/>
    <w:multiLevelType w:val="hybridMultilevel"/>
    <w:lvl w:ilvl="0">
      <w:lvlJc w:val="left"/>
      <w:lvlText w:val="(%1)"/>
      <w:numFmt w:val="lowerLetter"/>
      <w:start w:val="45"/>
    </w:lvl>
    <w:lvl w:ilvl="1">
      <w:lvlJc w:val="left"/>
      <w:lvlText w:val="%2"/>
      <w:numFmt w:val="lowerRoman"/>
      <w:start w:val="1"/>
    </w:lvl>
    <w:lvl w:ilvl="2">
      <w:lvlJc w:val="left"/>
      <w:lvlText w:val="%3"/>
      <w:numFmt w:val="decimal"/>
      <w:start w:val="1"/>
    </w:lvl>
  </w:abstractNum>
  <w:abstractNum w:abstractNumId="60">
    <w:nsid w:val="488AC1A"/>
    <w:multiLevelType w:val="hybridMultilevel"/>
    <w:lvl w:ilvl="0">
      <w:lvlJc w:val="left"/>
      <w:lvlText w:val="(%1)"/>
      <w:numFmt w:val="lowerLetter"/>
      <w:start w:val="1"/>
    </w:lvl>
  </w:abstractNum>
  <w:abstractNum w:abstractNumId="61">
    <w:nsid w:val="5FB8011C"/>
    <w:multiLevelType w:val="hybridMultilevel"/>
    <w:lvl w:ilvl="0">
      <w:lvlJc w:val="left"/>
      <w:lvlText w:val="(%1)"/>
      <w:numFmt w:val="lowerLetter"/>
      <w:start w:val="2"/>
    </w:lvl>
  </w:abstractNum>
  <w:abstractNum w:abstractNumId="62">
    <w:nsid w:val="6AA78F7F"/>
    <w:multiLevelType w:val="hybridMultilevel"/>
    <w:lvl w:ilvl="0">
      <w:lvlJc w:val="left"/>
      <w:lvlText w:val="(%1)"/>
      <w:numFmt w:val="lowerLetter"/>
      <w:start w:val="8"/>
    </w:lvl>
    <w:lvl w:ilvl="1">
      <w:lvlJc w:val="left"/>
      <w:lvlText w:val="(%2)"/>
      <w:numFmt w:val="lowerRoman"/>
      <w:start w:val="1"/>
    </w:lvl>
  </w:abstractNum>
  <w:abstractNum w:abstractNumId="63">
    <w:nsid w:val="7672BD23"/>
    <w:multiLevelType w:val="hybridMultilevel"/>
    <w:lvl w:ilvl="0">
      <w:lvlJc w:val="left"/>
      <w:lvlText w:val="(%1)"/>
      <w:numFmt w:val="lowerLetter"/>
      <w:start w:val="13"/>
    </w:lvl>
  </w:abstractNum>
  <w:abstractNum w:abstractNumId="64">
    <w:nsid w:val="6FC75AF8"/>
    <w:multiLevelType w:val="hybridMultilevel"/>
    <w:lvl w:ilvl="0">
      <w:lvlJc w:val="left"/>
      <w:lvlText w:val="(%1)"/>
      <w:numFmt w:val="lowerLetter"/>
      <w:start w:val="18"/>
    </w:lvl>
  </w:abstractNum>
  <w:abstractNum w:abstractNumId="65">
    <w:nsid w:val="6A5F7029"/>
    <w:multiLevelType w:val="hybridMultilevel"/>
    <w:lvl w:ilvl="0">
      <w:lvlJc w:val="left"/>
      <w:lvlText w:val="(%1)"/>
      <w:numFmt w:val="lowerLetter"/>
      <w:start w:val="1"/>
    </w:lvl>
  </w:abstractNum>
  <w:abstractNum w:abstractNumId="66">
    <w:nsid w:val="7D5E18F8"/>
    <w:multiLevelType w:val="hybridMultilevel"/>
    <w:lvl w:ilvl="0">
      <w:lvlJc w:val="left"/>
      <w:lvlText w:val="(%1)"/>
      <w:numFmt w:val="lowerLetter"/>
      <w:start w:val="12"/>
    </w:lvl>
  </w:abstractNum>
  <w:abstractNum w:abstractNumId="67">
    <w:nsid w:val="5F3534A4"/>
    <w:multiLevelType w:val="hybridMultilevel"/>
    <w:lvl w:ilvl="0">
      <w:lvlJc w:val="left"/>
      <w:lvlText w:val="(%1)"/>
      <w:numFmt w:val="lowerLetter"/>
      <w:start w:val="1"/>
    </w:lvl>
    <w:lvl w:ilvl="1">
      <w:lvlJc w:val="left"/>
      <w:lvlText w:val="(%2)"/>
      <w:numFmt w:val="lowerRoman"/>
      <w:start w:val="1"/>
    </w:lvl>
  </w:abstractNum>
  <w:abstractNum w:abstractNumId="68">
    <w:nsid w:val="73A1821B"/>
    <w:multiLevelType w:val="hybridMultilevel"/>
    <w:lvl w:ilvl="0">
      <w:lvlJc w:val="left"/>
      <w:lvlText w:val="(%1)"/>
      <w:numFmt w:val="lowerLetter"/>
      <w:start w:val="2"/>
    </w:lvl>
  </w:abstractNum>
  <w:abstractNum w:abstractNumId="69">
    <w:nsid w:val="7DE67713"/>
    <w:multiLevelType w:val="hybridMultilevel"/>
    <w:lvl w:ilvl="0">
      <w:lvlJc w:val="left"/>
      <w:lvlText w:val="(%1)"/>
      <w:numFmt w:val="lowerLetter"/>
      <w:start w:val="3"/>
    </w:lvl>
    <w:lvl w:ilvl="1">
      <w:lvlJc w:val="left"/>
      <w:lvlText w:val="(%2)"/>
      <w:numFmt w:val="lowerRoman"/>
      <w:start w:val="1"/>
    </w:lvl>
  </w:abstractNum>
  <w:abstractNum w:abstractNumId="70">
    <w:nsid w:val="555C55B5"/>
    <w:multiLevelType w:val="hybridMultilevel"/>
    <w:lvl w:ilvl="0">
      <w:lvlJc w:val="left"/>
      <w:lvlText w:val="(%1)"/>
      <w:numFmt w:val="lowerLetter"/>
      <w:start w:val="4"/>
    </w:lvl>
  </w:abstractNum>
  <w:abstractNum w:abstractNumId="71">
    <w:nsid w:val="3FA62ACA"/>
    <w:multiLevelType w:val="hybridMultilevel"/>
    <w:lvl w:ilvl="0">
      <w:lvlJc w:val="left"/>
      <w:lvlText w:val="(%1)"/>
      <w:numFmt w:val="lowerLetter"/>
      <w:start w:val="1"/>
    </w:lvl>
    <w:lvl w:ilvl="1">
      <w:lvlJc w:val="left"/>
      <w:lvlText w:val="(%2)"/>
      <w:numFmt w:val="lowerLetter"/>
      <w:start w:val="35"/>
    </w:lvl>
  </w:abstractNum>
  <w:abstractNum w:abstractNumId="72">
    <w:nsid w:val="14FCE74E"/>
    <w:multiLevelType w:val="hybridMultilevel"/>
    <w:lvl w:ilvl="0">
      <w:lvlJc w:val="left"/>
      <w:lvlText w:val="(%1)"/>
      <w:numFmt w:val="lowerLetter"/>
      <w:start w:val="3"/>
    </w:lvl>
  </w:abstractNum>
  <w:abstractNum w:abstractNumId="73">
    <w:nsid w:val="6A3DD3E8"/>
    <w:multiLevelType w:val="hybridMultilevel"/>
    <w:lvl w:ilvl="0">
      <w:lvlJc w:val="left"/>
      <w:lvlText w:val="(%1)"/>
      <w:numFmt w:val="lowerLetter"/>
      <w:start w:val="1"/>
    </w:lvl>
  </w:abstractNum>
  <w:abstractNum w:abstractNumId="74">
    <w:nsid w:val="71C91298"/>
    <w:multiLevelType w:val="hybridMultilevel"/>
    <w:lvl w:ilvl="0">
      <w:lvlJc w:val="left"/>
      <w:lvlText w:val="(%1)"/>
      <w:numFmt w:val="lowerLetter"/>
      <w:start w:val="2"/>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lowerLetter"/>
      <w:start w:val="2"/>
    </w:lvl>
  </w:abstractNum>
  <w:abstractNum w:abstractNumId="77">
    <w:nsid w:val="1FBFE8E0"/>
    <w:multiLevelType w:val="hybridMultilevel"/>
    <w:lvl w:ilvl="0">
      <w:lvlJc w:val="left"/>
      <w:lvlText w:val="(%1)"/>
      <w:numFmt w:val="lowerLetter"/>
      <w:start w:val="3"/>
    </w:lvl>
  </w:abstractNum>
  <w:abstractNum w:abstractNumId="78">
    <w:nsid w:val="5092CA79"/>
    <w:multiLevelType w:val="hybridMultilevel"/>
    <w:lvl w:ilvl="0">
      <w:lvlJc w:val="left"/>
      <w:lvlText w:val="%1."/>
      <w:numFmt w:val="decimal"/>
      <w:start w:val="1"/>
    </w:lvl>
  </w:abstractNum>
  <w:abstractNum w:abstractNumId="79">
    <w:nsid w:val="1D545C4D"/>
    <w:multiLevelType w:val="hybridMultilevel"/>
    <w:lvl w:ilvl="0">
      <w:lvlJc w:val="left"/>
      <w:lvlText w:val="%1."/>
      <w:numFmt w:val="decimal"/>
      <w:start w:val="3"/>
    </w:lvl>
  </w:abstractNum>
  <w:abstractNum w:abstractNumId="80">
    <w:nsid w:val="59ADEA3D"/>
    <w:multiLevelType w:val="hybridMultilevel"/>
    <w:lvl w:ilvl="0">
      <w:lvlJc w:val="left"/>
      <w:lvlText w:val="%1."/>
      <w:numFmt w:val="decimal"/>
      <w:start w:val="1"/>
    </w:lvl>
  </w:abstractNum>
  <w:abstractNum w:abstractNumId="81">
    <w:nsid w:val="288F1A34"/>
    <w:multiLevelType w:val="hybridMultilevel"/>
    <w:lvl w:ilvl="0">
      <w:lvlJc w:val="left"/>
      <w:lvlText w:val="(%1)"/>
      <w:numFmt w:val="lowerRoman"/>
      <w:start w:val="10"/>
    </w:lvl>
  </w:abstractNum>
  <w:abstractNum w:abstractNumId="82">
    <w:nsid w:val="2A155DBC"/>
    <w:multiLevelType w:val="hybridMultilevel"/>
    <w:lvl w:ilvl="0">
      <w:lvlJc w:val="left"/>
      <w:lvlText w:val="(%1)"/>
      <w:numFmt w:val="lowerRoman"/>
      <w:start w:val="1"/>
    </w:lvl>
  </w:abstractNum>
  <w:abstractNum w:abstractNumId="83">
    <w:nsid w:val="1D9F6E5F"/>
    <w:multiLevelType w:val="hybridMultilevel"/>
    <w:lvl w:ilvl="0">
      <w:lvlJc w:val="left"/>
      <w:lvlText w:val="(%1)"/>
      <w:numFmt w:val="lowerLetter"/>
      <w:start w:val="1"/>
    </w:lvl>
    <w:lvl w:ilvl="1">
      <w:lvlJc w:val="left"/>
      <w:lvlText w:val="(%2)"/>
      <w:numFmt w:val="decimal"/>
      <w:start w:val="1"/>
    </w:lvl>
  </w:abstractNum>
  <w:abstractNum w:abstractNumId="84">
    <w:nsid w:val="97E1B4E"/>
    <w:multiLevelType w:val="hybridMultilevel"/>
    <w:lvl w:ilvl="0">
      <w:lvlJc w:val="left"/>
      <w:lvlText w:val="(%1)"/>
      <w:numFmt w:val="decimal"/>
      <w:start w:val="9"/>
    </w:lvl>
  </w:abstractNum>
  <w:abstractNum w:abstractNumId="85">
    <w:nsid w:val="51088277"/>
    <w:multiLevelType w:val="hybridMultilevel"/>
    <w:lvl w:ilvl="0">
      <w:lvlJc w:val="left"/>
      <w:lvlText w:val="(%1)"/>
      <w:numFmt w:val="decimal"/>
      <w:start w:val="24"/>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lowerLetter"/>
      <w:start w:val="1"/>
    </w:lvl>
  </w:abstractNum>
  <w:abstractNum w:abstractNumId="88">
    <w:nsid w:val="415E286C"/>
    <w:multiLevelType w:val="hybridMultilevel"/>
    <w:lvl w:ilvl="0">
      <w:lvlJc w:val="left"/>
      <w:lvlText w:val="(%1)"/>
      <w:numFmt w:val="lowerLetter"/>
      <w:start w:val="3"/>
    </w:lvl>
  </w:abstractNum>
  <w:abstractNum w:abstractNumId="89">
    <w:nsid w:val="7C58FD05"/>
    <w:multiLevelType w:val="hybridMultilevel"/>
    <w:lvl w:ilvl="0">
      <w:lvlJc w:val="left"/>
      <w:lvlText w:val="(%1)"/>
      <w:numFmt w:val="lowerLetter"/>
      <w:start w:val="4"/>
    </w:lvl>
  </w:abstractNum>
  <w:abstractNum w:abstractNumId="90">
    <w:nsid w:val="23D86AAC"/>
    <w:multiLevelType w:val="hybridMultilevel"/>
    <w:lvl w:ilvl="0">
      <w:lvlJc w:val="left"/>
      <w:lvlText w:val="(%1)"/>
      <w:numFmt w:val="lowerLetter"/>
      <w:start w:val="1"/>
    </w:lvl>
  </w:abstractNum>
  <w:abstractNum w:abstractNumId="91">
    <w:nsid w:val="45E6D486"/>
    <w:multiLevelType w:val="hybridMultilevel"/>
    <w:lvl w:ilvl="0">
      <w:lvlJc w:val="left"/>
      <w:lvlText w:val="(%1)"/>
      <w:numFmt w:val="lowerLetter"/>
      <w:start w:val="2"/>
    </w:lvl>
  </w:abstractNum>
  <w:abstractNum w:abstractNumId="92">
    <w:nsid w:val="5C10FE21"/>
    <w:multiLevelType w:val="hybridMultilevel"/>
    <w:lvl w:ilvl="0">
      <w:lvlJc w:val="left"/>
      <w:lvlText w:val="(%1)"/>
      <w:numFmt w:val="lowerLetter"/>
      <w:start w:val="1"/>
    </w:lvl>
  </w:abstractNum>
  <w:abstractNum w:abstractNumId="93">
    <w:nsid w:val="E7FFA2B"/>
    <w:multiLevelType w:val="hybridMultilevel"/>
    <w:lvl w:ilvl="0">
      <w:lvlJc w:val="left"/>
      <w:lvlText w:val="(%1)"/>
      <w:numFmt w:val="lowerLetter"/>
      <w:start w:val="2"/>
    </w:lvl>
  </w:abstractNum>
  <w:abstractNum w:abstractNumId="94">
    <w:nsid w:val="3C5991AA"/>
    <w:multiLevelType w:val="hybridMultilevel"/>
    <w:lvl w:ilvl="0">
      <w:lvlJc w:val="left"/>
      <w:lvlText w:val="(%1)"/>
      <w:numFmt w:val="lowerLetter"/>
      <w:start w:val="1"/>
    </w:lvl>
  </w:abstractNum>
  <w:abstractNum w:abstractNumId="95">
    <w:nsid w:val="4BD8591A"/>
    <w:multiLevelType w:val="hybridMultilevel"/>
    <w:lvl w:ilvl="0">
      <w:lvlJc w:val="left"/>
      <w:lvlText w:val="(%1)"/>
      <w:numFmt w:val="lowerRoman"/>
      <w:start w:val="2"/>
    </w:lvl>
  </w:abstractNum>
  <w:abstractNum w:abstractNumId="96">
    <w:nsid w:val="78DF6A55"/>
    <w:multiLevelType w:val="hybridMultilevel"/>
    <w:lvl w:ilvl="0">
      <w:lvlJc w:val="left"/>
      <w:lvlText w:val="(%1)"/>
      <w:numFmt w:val="lowerLetter"/>
      <w:start w:val="1"/>
    </w:lvl>
    <w:lvl w:ilvl="1">
      <w:lvlJc w:val="left"/>
      <w:lvlText w:val="(%2)"/>
      <w:numFmt w:val="decimal"/>
      <w:start w:val="1"/>
    </w:lvl>
  </w:abstractNum>
  <w:abstractNum w:abstractNumId="97">
    <w:nsid w:val="39B7AAA2"/>
    <w:multiLevelType w:val="hybridMultilevel"/>
    <w:lvl w:ilvl="0">
      <w:lvlJc w:val="left"/>
      <w:lvlText w:val="(%1)"/>
      <w:numFmt w:val="lowerLetter"/>
      <w:start w:val="3"/>
    </w:lvl>
  </w:abstractNum>
  <w:abstractNum w:abstractNumId="98">
    <w:nsid w:val="2B0D8DBE"/>
    <w:multiLevelType w:val="hybridMultilevel"/>
    <w:lvl w:ilvl="0">
      <w:lvlJc w:val="left"/>
      <w:lvlText w:val="(%1)"/>
      <w:numFmt w:val="lowerLetter"/>
      <w:start w:val="1"/>
    </w:lvl>
  </w:abstractNum>
  <w:abstractNum w:abstractNumId="99">
    <w:nsid w:val="6C80EC70"/>
    <w:multiLevelType w:val="hybridMultilevel"/>
    <w:lvl w:ilvl="0">
      <w:lvlJc w:val="left"/>
      <w:lvlText w:val="(%1)"/>
      <w:numFmt w:val="lowerLetter"/>
      <w:start w:val="1"/>
    </w:lvl>
  </w:abstractNum>
  <w:abstractNum w:abstractNumId="100">
    <w:nsid w:val="379E21B5"/>
    <w:multiLevelType w:val="hybridMultilevel"/>
    <w:lvl w:ilvl="0">
      <w:lvlJc w:val="left"/>
      <w:lvlText w:val="(%1)"/>
      <w:numFmt w:val="lowerLetter"/>
      <w:start w:val="1"/>
    </w:lvl>
  </w:abstractNum>
  <w:abstractNum w:abstractNumId="101">
    <w:nsid w:val="69E373"/>
    <w:multiLevelType w:val="hybridMultilevel"/>
    <w:lvl w:ilvl="0">
      <w:lvlJc w:val="left"/>
      <w:lvlText w:val="(%1)"/>
      <w:numFmt w:val="decimal"/>
      <w:start w:val="1"/>
    </w:lvl>
  </w:abstractNum>
  <w:abstractNum w:abstractNumId="102">
    <w:nsid w:val="2C27173B"/>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3"/>
    </w:lvl>
  </w:abstractNum>
  <w:abstractNum w:abstractNumId="103">
    <w:nsid w:val="4C9B0904"/>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5"/>
    </w:lvl>
  </w:abstractNum>
  <w:abstractNum w:abstractNumId="104">
    <w:nsid w:val="6AA7B75C"/>
    <w:multiLevelType w:val="hybridMultilevel"/>
    <w:lvl w:ilvl="0">
      <w:lvlJc w:val="left"/>
      <w:lvlText w:val="(%1)"/>
      <w:numFmt w:val="lowerLetter"/>
      <w:start w:val="4"/>
    </w:lvl>
  </w:abstractNum>
  <w:abstractNum w:abstractNumId="105">
    <w:nsid w:val="1DF029D3"/>
    <w:multiLevelType w:val="hybridMultilevel"/>
    <w:lvl w:ilvl="0">
      <w:lvlJc w:val="left"/>
      <w:lvlText w:val="(%1)"/>
      <w:numFmt w:val="lowerLetter"/>
      <w:start w:val="1"/>
    </w:lvl>
  </w:abstractNum>
  <w:abstractNum w:abstractNumId="106">
    <w:nsid w:val="5675FF36"/>
    <w:multiLevelType w:val="hybridMultilevel"/>
    <w:lvl w:ilvl="0">
      <w:lvlJc w:val="left"/>
      <w:lvlText w:val="(%1)"/>
      <w:numFmt w:val="lowerLetter"/>
      <w:start w:val="1"/>
    </w:lvl>
  </w:abstractNum>
  <w:abstractNum w:abstractNumId="107">
    <w:nsid w:val="3DD15094"/>
    <w:multiLevelType w:val="hybridMultilevel"/>
    <w:lvl w:ilvl="0">
      <w:lvlJc w:val="left"/>
      <w:lvlText w:val="(%1)"/>
      <w:numFmt w:val="lowerLetter"/>
      <w:start w:val="1"/>
    </w:lvl>
  </w:abstractNum>
  <w:abstractNum w:abstractNumId="108">
    <w:nsid w:val="3DB012B3"/>
    <w:multiLevelType w:val="hybridMultilevel"/>
    <w:lvl w:ilvl="0">
      <w:lvlJc w:val="left"/>
      <w:lvlText w:val="(%1)"/>
      <w:numFmt w:val="lowerLetter"/>
      <w:start w:val="2"/>
    </w:lvl>
  </w:abstractNum>
  <w:abstractNum w:abstractNumId="109">
    <w:nsid w:val="2708C9AF"/>
    <w:multiLevelType w:val="hybridMultilevel"/>
    <w:lvl w:ilvl="0">
      <w:lvlJc w:val="left"/>
      <w:lvlText w:val="(%1)"/>
      <w:numFmt w:val="lowerRoman"/>
      <w:start w:val="1"/>
    </w:lvl>
    <w:lvl w:ilvl="1">
      <w:lvlJc w:val="left"/>
      <w:lvlText w:val="(%2)"/>
      <w:numFmt w:val="upperLetter"/>
      <w:start w:val="1"/>
    </w:lvl>
  </w:abstractNum>
  <w:abstractNum w:abstractNumId="110">
    <w:nsid w:val="5B25ACE2"/>
    <w:multiLevelType w:val="hybridMultilevel"/>
    <w:lvl w:ilvl="0">
      <w:lvlJc w:val="left"/>
      <w:lvlText w:val="(%1)"/>
      <w:numFmt w:val="lowerLetter"/>
      <w:start w:val="1"/>
    </w:lvl>
  </w:abstractNum>
  <w:abstractNum w:abstractNumId="111">
    <w:nsid w:val="175DFCF0"/>
    <w:multiLevelType w:val="hybridMultilevel"/>
    <w:lvl w:ilvl="0">
      <w:lvlJc w:val="left"/>
      <w:lvlText w:val="(%1)"/>
      <w:numFmt w:val="lowerLetter"/>
      <w:start w:val="3"/>
    </w:lvl>
  </w:abstractNum>
  <w:abstractNum w:abstractNumId="112">
    <w:nsid w:val="4F97E3E4"/>
    <w:multiLevelType w:val="hybridMultilevel"/>
    <w:lvl w:ilvl="0">
      <w:lvlJc w:val="left"/>
      <w:lvlText w:val="(%1)"/>
      <w:numFmt w:val="lowerLetter"/>
      <w:start w:val="11"/>
    </w:lvl>
  </w:abstractNum>
  <w:abstractNum w:abstractNumId="113">
    <w:nsid w:val="53B0A9E"/>
    <w:multiLevelType w:val="hybridMultilevel"/>
    <w:lvl w:ilvl="0">
      <w:lvlJc w:val="left"/>
      <w:lvlText w:val="(%1)"/>
      <w:numFmt w:val="lowerLetter"/>
      <w:start w:val="1"/>
    </w:lvl>
  </w:abstractNum>
  <w:abstractNum w:abstractNumId="114">
    <w:nsid w:val="34FD6B4F"/>
    <w:multiLevelType w:val="hybridMultilevel"/>
    <w:lvl w:ilvl="0">
      <w:lvlJc w:val="left"/>
      <w:lvlText w:val="(%1)"/>
      <w:numFmt w:val="lowerLetter"/>
      <w:start w:val="1"/>
    </w:lvl>
  </w:abstractNum>
  <w:abstractNum w:abstractNumId="115">
    <w:nsid w:val="5915FF32"/>
    <w:multiLevelType w:val="hybridMultilevel"/>
    <w:lvl w:ilvl="0">
      <w:lvlJc w:val="left"/>
      <w:lvlText w:val="(%1)"/>
      <w:numFmt w:val="lowerLetter"/>
      <w:start w:val="3"/>
    </w:lvl>
  </w:abstractNum>
  <w:abstractNum w:abstractNumId="116">
    <w:nsid w:val="56438D15"/>
    <w:multiLevelType w:val="hybridMultilevel"/>
    <w:lvl w:ilvl="0">
      <w:lvlJc w:val="left"/>
      <w:lvlText w:val="(%1)"/>
      <w:numFmt w:val="lowerLetter"/>
      <w:start w:val="1"/>
    </w:lvl>
  </w:abstractNum>
  <w:abstractNum w:abstractNumId="117">
    <w:nsid w:val="519E3149"/>
    <w:multiLevelType w:val="hybridMultilevel"/>
    <w:lvl w:ilvl="0">
      <w:lvlJc w:val="left"/>
      <w:lvlText w:val="(%1)"/>
      <w:numFmt w:val="lowerLetter"/>
      <w:start w:val="2"/>
    </w:lvl>
    <w:lvl w:ilvl="1">
      <w:lvlJc w:val="left"/>
      <w:lvlText w:val="(%2)"/>
      <w:numFmt w:val="lowerRoman"/>
      <w:start w:val="1"/>
    </w:lvl>
  </w:abstractNum>
  <w:abstractNum w:abstractNumId="118">
    <w:nsid w:val="2C6E4AFD"/>
    <w:multiLevelType w:val="hybridMultilevel"/>
    <w:lvl w:ilvl="0">
      <w:lvlJc w:val="left"/>
      <w:lvlText w:val="(%1)"/>
      <w:numFmt w:val="lowerLetter"/>
      <w:start w:val="3"/>
    </w:lvl>
  </w:abstractNum>
  <w:abstractNum w:abstractNumId="119">
    <w:nsid w:val="17A1B582"/>
    <w:multiLevelType w:val="hybridMultilevel"/>
    <w:lvl w:ilvl="0">
      <w:lvlJc w:val="left"/>
      <w:lvlText w:val="(%1)"/>
      <w:numFmt w:val="lowerLetter"/>
      <w:start w:val="1"/>
    </w:lvl>
  </w:abstractNum>
  <w:abstractNum w:abstractNumId="120">
    <w:nsid w:val="4DF72E4E"/>
    <w:multiLevelType w:val="hybridMultilevel"/>
    <w:lvl w:ilvl="0">
      <w:lvlJc w:val="left"/>
      <w:lvlText w:val="(%1)"/>
      <w:numFmt w:val="lowerLetter"/>
      <w:start w:val="3"/>
    </w:lvl>
  </w:abstractNum>
  <w:abstractNum w:abstractNumId="121">
    <w:nsid w:val="5046B5A9"/>
    <w:multiLevelType w:val="hybridMultilevel"/>
    <w:lvl w:ilvl="0">
      <w:lvlJc w:val="left"/>
      <w:lvlText w:val="(%1)"/>
      <w:numFmt w:val="lowerLetter"/>
      <w:start w:val="2"/>
    </w:lvl>
  </w:abstractNum>
  <w:abstractNum w:abstractNumId="122">
    <w:nsid w:val="5D888A08"/>
    <w:multiLevelType w:val="hybridMultilevel"/>
    <w:lvl w:ilvl="0">
      <w:lvlJc w:val="left"/>
      <w:lvlText w:val="(%1)"/>
      <w:numFmt w:val="lowerLetter"/>
      <w:start w:val="1"/>
    </w:lvl>
  </w:abstractNum>
  <w:abstractNum w:abstractNumId="123">
    <w:nsid w:val="2A082C70"/>
    <w:multiLevelType w:val="hybridMultilevel"/>
    <w:lvl w:ilvl="0">
      <w:lvlJc w:val="left"/>
      <w:lvlText w:val="(%1)"/>
      <w:numFmt w:val="lowerLetter"/>
      <w:start w:val="5"/>
    </w:lvl>
  </w:abstractNum>
  <w:abstractNum w:abstractNumId="124">
    <w:nsid w:val="5EC6AFD4"/>
    <w:multiLevelType w:val="hybridMultilevel"/>
    <w:lvl w:ilvl="0">
      <w:lvlJc w:val="left"/>
      <w:lvlText w:val="(%1)"/>
      <w:numFmt w:val="lowerLetter"/>
      <w:start w:val="1"/>
    </w:lvl>
  </w:abstractNum>
  <w:abstractNum w:abstractNumId="125">
    <w:nsid w:val="19E21BB2"/>
    <w:multiLevelType w:val="hybridMultilevel"/>
    <w:lvl w:ilvl="0">
      <w:lvlJc w:val="left"/>
      <w:lvlText w:val="(%1)"/>
      <w:numFmt w:val="lowerLetter"/>
      <w:start w:val="2"/>
    </w:lvl>
  </w:abstractNum>
  <w:abstractNum w:abstractNumId="126">
    <w:nsid w:val="75E0858A"/>
    <w:multiLevelType w:val="hybridMultilevel"/>
    <w:lvl w:ilvl="0">
      <w:lvlJc w:val="left"/>
      <w:lvlText w:val="(%1)"/>
      <w:numFmt w:val="lowerLetter"/>
      <w:start w:val="1"/>
    </w:lvl>
  </w:abstractNum>
  <w:abstractNum w:abstractNumId="127">
    <w:nsid w:val="57A61A29"/>
    <w:multiLevelType w:val="hybridMultilevel"/>
    <w:lvl w:ilvl="0">
      <w:lvlJc w:val="left"/>
      <w:lvlText w:val="(%1)"/>
      <w:numFmt w:val="decimal"/>
      <w:start w:val="1"/>
    </w:lvl>
  </w:abstractNum>
  <w:abstractNum w:abstractNumId="128">
    <w:nsid w:val="5399C654"/>
    <w:multiLevelType w:val="hybridMultilevel"/>
    <w:lvl w:ilvl="0">
      <w:lvlJc w:val="left"/>
      <w:lvlText w:val="(%1)"/>
      <w:numFmt w:val="lowerLetter"/>
      <w:start w:val="4"/>
    </w:lvl>
  </w:abstractNum>
  <w:abstractNum w:abstractNumId="129">
    <w:nsid w:val="20EE1348"/>
    <w:multiLevelType w:val="hybridMultilevel"/>
    <w:lvl w:ilvl="0">
      <w:lvlJc w:val="left"/>
      <w:lvlText w:val="%1."/>
      <w:numFmt w:val="decimal"/>
      <w:start w:val="1"/>
    </w:lvl>
  </w:abstractNum>
  <w:abstractNum w:abstractNumId="130">
    <w:nsid w:val="4427069A"/>
    <w:multiLevelType w:val="hybridMultilevel"/>
    <w:lvl w:ilvl="0">
      <w:lvlJc w:val="left"/>
      <w:lvlText w:val="%1."/>
      <w:numFmt w:val="decimal"/>
      <w:start w:val="3"/>
    </w:lvl>
  </w:abstractNum>
  <w:abstractNum w:abstractNumId="131">
    <w:nsid w:val="B37E80A"/>
    <w:multiLevelType w:val="hybridMultilevel"/>
    <w:lvl w:ilvl="0">
      <w:lvlJc w:val="left"/>
      <w:lvlText w:val="(%1)"/>
      <w:numFmt w:val="decimal"/>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jpe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jpe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jpe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13" Type="http://schemas.openxmlformats.org/officeDocument/2006/relationships/image" Target="media/image75.png"/><Relationship Id="rId114" Type="http://schemas.openxmlformats.org/officeDocument/2006/relationships/image" Target="media/image76.png"/><Relationship Id="rId115"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jpe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jpeg"/><Relationship Id="rId204" Type="http://schemas.openxmlformats.org/officeDocument/2006/relationships/image" Target="media/image166.png"/><Relationship Id="rId205" Type="http://schemas.openxmlformats.org/officeDocument/2006/relationships/image" Target="media/image167.jpe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50" Type="http://schemas.openxmlformats.org/officeDocument/2006/relationships/hyperlink" Target="https://www.sec.gov/Archives/edgar/data/1894954/000190359626000075/0001903596-26-000075-index.htm" TargetMode="External"/><Relationship Id="rId51" Type="http://schemas.openxmlformats.org/officeDocument/2006/relationships/hyperlink" Target="https://www.sec.gov/Archives/edgar/data/1894954/000190359626000185/0001903596-26-000185-index.htm" TargetMode="External"/><Relationship Id="rId52" Type="http://schemas.openxmlformats.org/officeDocument/2006/relationships/hyperlink" Target="https://www.sec.gov/Archives/edgar/data/1894954/000190359626000230/0001903596-26-000230-index.htm" TargetMode="External"/><Relationship Id="rId53" Type="http://schemas.openxmlformats.org/officeDocument/2006/relationships/hyperlink" Target="https://www.sec.gov/Archives/edgar/data/1894954/000190359626000302/0001903596-26-000302-index.htm" TargetMode="External"/><Relationship Id="rId54" Type="http://schemas.openxmlformats.org/officeDocument/2006/relationships/hyperlink" Target="https://www.sec.gov/Archives/edgar/data/1894954/000190359626000022/0001903596-26-000022-index.htm" TargetMode="External"/><Relationship Id="rId55" Type="http://schemas.openxmlformats.org/officeDocument/2006/relationships/hyperlink" Target="https://www.sec.gov/Archives/edgar/data/1894954/000190359626000273/0001903596-26-000273-index.htm" TargetMode="External"/><Relationship Id="rId56" Type="http://schemas.openxmlformats.org/officeDocument/2006/relationships/hyperlink" Target="https://www.sec.gov/Archives/edgar/data/1894954/000190359626000279/0001903596-26-000279-index.htm" TargetMode="External"/><Relationship Id="rId57" Type="http://schemas.openxmlformats.org/officeDocument/2006/relationships/hyperlink" Target="https://www.sec.gov/Archives/edgar/data/1894954/000190359626000291/0001903596-26-000291-index.htm" TargetMode="External"/><Relationship Id="rId58" Type="http://schemas.openxmlformats.org/officeDocument/2006/relationships/hyperlink" Target="https://www.sec.gov/Archives/edgar/data/1894954/000190359626000317/0001903596-26-000317-index.htm" TargetMode="External"/><Relationship Id="rId59" Type="http://schemas.openxmlformats.org/officeDocument/2006/relationships/hyperlink" Target="https://www.sec.gov/Archives/edgar/data/1894954/000190359626000334/0001903596-26-000334-index.htm" TargetMode="External"/><Relationship Id="rId60" Type="http://schemas.openxmlformats.org/officeDocument/2006/relationships/hyperlink" Target="https://www.sec.gov/Archives/edgar/data/1894954/000190359626000390/0001903596-26-000390-index.htm" TargetMode="External"/><Relationship Id="rId61" Type="http://schemas.openxmlformats.org/officeDocument/2006/relationships/hyperlink" Target="https://www.sec.gov/Archives/edgar/data/1894954/000190359626000075/ex4_4.htm" TargetMode="External"/><Relationship Id="rId92" Type="http://schemas.openxmlformats.org/officeDocument/2006/relationships/hyperlink" Target="https://www.sec.gov/Archives/edgar/data/1894954/000190359622000125/f2sexpion121721s1ex3_1.htm" TargetMode="External"/><Relationship Id="rId93" Type="http://schemas.openxmlformats.org/officeDocument/2006/relationships/hyperlink" Target="https://www.sec.gov/Archives/edgar/data/1894954/000190359624000610/ex3_1.htm" TargetMode="External"/><Relationship Id="rId94" Type="http://schemas.openxmlformats.org/officeDocument/2006/relationships/hyperlink" Target="https://www.sec.gov/Archives/edgar/data/1894954/000190359626000279/ex3_1.htm" TargetMode="External"/><Relationship Id="rId95" Type="http://schemas.openxmlformats.org/officeDocument/2006/relationships/hyperlink" Target="https://www.sec.gov/Archives/edgar/data/1894954/000190359626000317/ex3_2.htm" TargetMode="External"/><Relationship Id="rId96" Type="http://schemas.openxmlformats.org/officeDocument/2006/relationships/hyperlink" Target="https://www.sec.gov/Archives/edgar/data/1894954/000190359624000561/ex3_1.htm" TargetMode="External"/><Relationship Id="rId97" Type="http://schemas.openxmlformats.org/officeDocument/2006/relationships/hyperlink" Target="https://www.sec.gov/Archives/edgar/data/1894954/000190359626000317/ex3_3.htm" TargetMode="External"/><Relationship Id="rId98" Type="http://schemas.openxmlformats.org/officeDocument/2006/relationships/hyperlink" Target="https://www.sec.gov/Archives/edgar/data/1894954/000190359622000125/f2sexpion121721s1ex4_1.htm" TargetMode="External"/><Relationship Id="rId99" Type="http://schemas.openxmlformats.org/officeDocument/2006/relationships/hyperlink" Target="https://www.sec.gov/Archives/edgar/data/1894954/000190359622000125/f2sexpion121721s1ex4_4.htm" TargetMode="External"/><Relationship Id="rId100" Type="http://schemas.openxmlformats.org/officeDocument/2006/relationships/hyperlink" Target="https://www.sec.gov/Archives/edgar/data/1894954/000190359622000125/f2sexpion121721s1ex4_5.htm" TargetMode="External"/><Relationship Id="rId101" Type="http://schemas.openxmlformats.org/officeDocument/2006/relationships/hyperlink" Target="https://www.sec.gov/Archives/edgar/data/1894954/000190359622000125/f2sexpion121721s1ex10_1.htm" TargetMode="External"/><Relationship Id="rId102" Type="http://schemas.openxmlformats.org/officeDocument/2006/relationships/hyperlink" Target="https://www.sec.gov/Archives/edgar/data/1894954/000190359623000244/ex10_15.htm" TargetMode="External"/><Relationship Id="rId103" Type="http://schemas.openxmlformats.org/officeDocument/2006/relationships/hyperlink" Target="https://www.sec.gov/Archives/edgar/data/1894954/000190359623000244/ex10_16.htm" TargetMode="External"/><Relationship Id="rId104" Type="http://schemas.openxmlformats.org/officeDocument/2006/relationships/hyperlink" Target="https://www.sec.gov/Archives/edgar/data/1894954/000190359623000983/ex4_1.htm" TargetMode="External"/><Relationship Id="rId105" Type="http://schemas.openxmlformats.org/officeDocument/2006/relationships/hyperlink" Target="https://www.sec.gov/Archives/edgar/data/1894954/000190359624000479/ex4_1.htm" TargetMode="External"/><Relationship Id="rId106" Type="http://schemas.openxmlformats.org/officeDocument/2006/relationships/hyperlink" Target="https://www.sec.gov/Archives/edgar/data/1894954/000190359624000479/ex4_2.htm" TargetMode="External"/><Relationship Id="rId107" Type="http://schemas.openxmlformats.org/officeDocument/2006/relationships/hyperlink" Target="https://www.sec.gov/Archives/edgar/data/1894954/000190359624000479/ex4_3.htm" TargetMode="External"/><Relationship Id="rId108" Type="http://schemas.openxmlformats.org/officeDocument/2006/relationships/hyperlink" Target="https://www.sec.gov/Archives/edgar/data/1894954/000190359625000486/ex4_1.htm" TargetMode="External"/><Relationship Id="rId109" Type="http://schemas.openxmlformats.org/officeDocument/2006/relationships/hyperlink" Target="https://www.sec.gov/Archives/edgar/data/1894954/000190359625000006/ex4_1.htm" TargetMode="External"/><Relationship Id="rId110" Type="http://schemas.openxmlformats.org/officeDocument/2006/relationships/hyperlink" Target="https://www.sec.gov/Archives/edgar/data/1894954/000190359625000006/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2026-10-26T05:08:55Z</dcterms:created>
  <dcterms:modified xsi:type="dcterms:W3CDTF">2026-10-26T05:08:55Z</dcterms:modified>
</cp:coreProperties>
</file>