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Expion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Marc Greenberg</w:t>
              <w:br/>
              <w:t>510 Madison Avenue, 14th Floor</w:t>
              <w:br/>
              <w:t>New York, NY, 10022</w:t>
              <w:br/>
              <w:t>212-586-8224</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Five Narrow Lane,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96,317.00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96,317.00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96,317.00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7, 9, 11 and 13: The number of shares and the percentage are based on 962,335 shares of the Issuer's common stock, par value $0.001 per share ("Common Stock"), outstanding as of August 6, 2026 as reported in the Issuer's Form 10-Q for the quarter ended June 30, 2026 filed on August 10, 2026 with the Securities and Exchange Commission. The securities are held of record by Five Narrow Lane LP ("FNL"), except that Five Narrow Lane General Partner, LLC, the General Partner of FNL, may be deemed to have sole voting and dispositive power over the securities, and Joseph Hammer and Arie Rabinowitz may be deemed to have shared voting and dispositive power over the securities. Note to 12: The aggregate amount in Row 11 represents the maximum amount of shares that the Reporting Person can beneficially own under a contractually stipulated 9.99% ownership restriction. The full conversion and/or exercise of the securities beneficially owned by the Reporting Person would exceed this restriction.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Five Narrow Lane General Partner,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96,317.00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96,317.00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96,317.00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7, 9, 11 and 13: The number of shares and the percentage are based on 962,335 shares of the Issuer's common stock, par value $0.001 per share ("Common Stock"), outstanding as of August 6, 2026 as reported in the Issuer's Form 10-Q for the quarter ended June 30, 2026 filed on August 10, 2026 with the Securities and Exchange Commission. The securities are held of record by Five Narrow Lane LP ("FNL"), except that Five Narrow Lane General Partner, LLC (the "General Partner") may be deemed to have sole voting and dispositive power over the securities, and Joseph Hammer and Arie Rabinowitz, the Co-Managing Members of the General Partner, may be deemed to have shared voting and dispositive power over the securities. Note to 12: The aggregate amount in Row 11 represents the maximum amount of shares that the Reporting Person can beneficially own under a contractually stipulated 9.99% ownership restriction. The full conversion and/or exercise of the securities beneficially owned by the Reporting Person would exceed this restriction.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Joseph Hammer</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96,137.00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96,137.00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96,137.00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8, 10, 11 and 13: The number of shares and the percentage are based on 962,335 shares of Common Stock outstanding as of August 6, 2026 as reported in the Issuer's Form 10-Q for the quarter ended June 30, 2026 filed on August 10, 2026 with the Securities and Exchange Commission. The Reporting Person may be deemed to have shared voting and dispositive power over the securities with Arie Rabinowitz. Note to 12: The aggregate amount in Row 11 represents the maximum amount of shares that the Reporting Person can beneficially own under a contractually stipulated 9.99% ownership restriction. The full conversion and/or exercise of the securities beneficially owned by the Reporting Person would exceed this restriction.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Arie Rabinowitz</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96,137.00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96,137.00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96,137.00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8, 10, 11 and 13: The number of shares and the percentage are based on 962,335 shares of Common Stock outstanding as of August 6, 2026 as reported in the Issuer's Form 10-Q for the quarter ended June 30, 2026 filed on August 10, 2026 with the Securities and Exchange Commission. The Reporting Person may be deemed to have shared voting and dispositive power over the securities with Joseph Hammer. Note to 12: The aggregate amount in Row 11 represents the maximum amount of shares that the Reporting Person can beneficially own under a contractually stipulated 9.99% ownership restriction. The full conversion and/or exercise of the securities beneficially owned by the Reporting Person would exceed this restriction.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Item 1.</w:t>
            </w:r>
          </w:p>
        </w:tc>
        <w:tc>
          <w:tcPr>
            <w:tcW w:w="9031" w:type="dxa"/>
            <w:tcBorders/>
            <w:vAlign w:val="center"/>
          </w:tcPr>
          <w:p>
            <w:pPr>
              <w:pStyle w:val="TableContents"/>
              <w:bidi w:val="0"/>
              <w:spacing w:before="0" w:after="283"/>
              <w:jc w:val="left"/>
              <w:rPr/>
            </w:pPr>
            <w:r>
              <w:rPr/>
              <w:t>Security and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jc w:val="left"/>
              <w:rPr/>
            </w:pPr>
            <w:r>
              <w:rPr/>
              <w:t xml:space="preserve">Name of Issuer: </w:t>
            </w:r>
          </w:p>
          <w:p>
            <w:pPr>
              <w:pStyle w:val="TableContents"/>
              <w:bidi w:val="0"/>
              <w:spacing w:before="0" w:after="0"/>
              <w:jc w:val="left"/>
              <w:rPr/>
            </w:pPr>
            <w:r>
              <w:rPr/>
              <w:t>Expion Energy, Inc.</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2025 SW Deerhound Ave, Redmond, OREGON , 97756.</w:t>
            </w:r>
          </w:p>
        </w:tc>
      </w:tr>
      <w:tr>
        <w:trPr/>
        <w:tc>
          <w:tcPr>
            <w:tcW w:w="1174" w:type="dxa"/>
            <w:tcBorders/>
            <w:vAlign w:val="center"/>
          </w:tcPr>
          <w:p>
            <w:pPr>
              <w:pStyle w:val="TableContents"/>
              <w:bidi w:val="0"/>
              <w:spacing w:before="0" w:after="283"/>
              <w:jc w:val="left"/>
              <w:rPr/>
            </w:pPr>
            <w:r>
              <w:rPr/>
              <w:t>Item 2.</w:t>
            </w:r>
          </w:p>
        </w:tc>
        <w:tc>
          <w:tcPr>
            <w:tcW w:w="9031" w:type="dxa"/>
            <w:tcBorders/>
            <w:vAlign w:val="center"/>
          </w:tcPr>
          <w:p>
            <w:pPr>
              <w:pStyle w:val="TableContents"/>
              <w:bidi w:val="0"/>
              <w:spacing w:before="0" w:after="283"/>
              <w:jc w:val="left"/>
              <w:rPr/>
            </w:pPr>
            <w:r>
              <w:rPr/>
              <w:t>Identity and Background</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spacing w:before="0" w:after="0"/>
              <w:jc w:val="left"/>
              <w:rPr/>
            </w:pPr>
            <w:r>
              <w:rPr/>
              <w:t>(i) Five Narrow Lane, LP ("FNL"), (ii) Five Narrow Lane General Partner, LLC (the "General Partner"), (iii) Joseph Hammer ("Mr. Hammer"), and (iv) Arie Rabinowitz ("Mr. Rabinowitz")</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spacing w:before="0" w:after="0"/>
              <w:jc w:val="left"/>
              <w:rPr/>
            </w:pPr>
            <w:r>
              <w:rPr/>
              <w:t>The address of the principal place of business of each of the Reporting Persons is 510 Madison Avenue, Suite 1401, New York, NY 10022.</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spacing w:before="0" w:after="0"/>
              <w:jc w:val="left"/>
              <w:rPr/>
            </w:pPr>
            <w:r>
              <w:rPr/>
              <w:t>Each of Mr. Hammer and Mr. Rabinowitz are employed by LHX Corp., a family office which is a service provider to Five Narrow Lane, LP. The address of LHX Corp. is 510 Madison Avenue, 14th Floor, New York, NY 10022.</w:t>
            </w:r>
          </w:p>
        </w:tc>
      </w:tr>
      <w:tr>
        <w:trPr/>
        <w:tc>
          <w:tcPr>
            <w:tcW w:w="1174" w:type="dxa"/>
            <w:tcBorders/>
            <w:vAlign w:val="center"/>
          </w:tcPr>
          <w:p>
            <w:pPr>
              <w:pStyle w:val="TableContents"/>
              <w:bidi w:val="0"/>
              <w:spacing w:before="0" w:after="283"/>
              <w:jc w:val="left"/>
              <w:rPr/>
            </w:pPr>
            <w:r>
              <w:rPr/>
              <w:t>(d)</w:t>
            </w:r>
          </w:p>
        </w:tc>
        <w:tc>
          <w:tcPr>
            <w:tcW w:w="9031" w:type="dxa"/>
            <w:tcBorders/>
            <w:vAlign w:val="center"/>
          </w:tcPr>
          <w:p>
            <w:pPr>
              <w:pStyle w:val="TableContents"/>
              <w:bidi w:val="0"/>
              <w:spacing w:before="0" w:after="0"/>
              <w:jc w:val="left"/>
              <w:rPr/>
            </w:pPr>
            <w:r>
              <w:rPr/>
              <w:t>During the last five years, none of the Reporting Persons have been convicted in any criminal proceeding (excluding traffic violations or similar misdemeanors).</w:t>
            </w:r>
          </w:p>
        </w:tc>
      </w:tr>
      <w:tr>
        <w:trPr/>
        <w:tc>
          <w:tcPr>
            <w:tcW w:w="1174" w:type="dxa"/>
            <w:tcBorders/>
            <w:vAlign w:val="center"/>
          </w:tcPr>
          <w:p>
            <w:pPr>
              <w:pStyle w:val="TableContents"/>
              <w:bidi w:val="0"/>
              <w:spacing w:before="0" w:after="283"/>
              <w:jc w:val="left"/>
              <w:rPr/>
            </w:pPr>
            <w:r>
              <w:rPr/>
              <w:t>(e)</w:t>
            </w:r>
          </w:p>
        </w:tc>
        <w:tc>
          <w:tcPr>
            <w:tcW w:w="9031" w:type="dxa"/>
            <w:tcBorders/>
            <w:vAlign w:val="center"/>
          </w:tcPr>
          <w:p>
            <w:pPr>
              <w:pStyle w:val="TableContents"/>
              <w:bidi w:val="0"/>
              <w:spacing w:before="0" w:after="0"/>
              <w:jc w:val="left"/>
              <w:rPr/>
            </w:pPr>
            <w:r>
              <w:rPr/>
              <w:t>During the last five years, none of the Reporting Persons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4" w:type="dxa"/>
            <w:tcBorders/>
            <w:vAlign w:val="center"/>
          </w:tcPr>
          <w:p>
            <w:pPr>
              <w:pStyle w:val="TableContents"/>
              <w:bidi w:val="0"/>
              <w:spacing w:before="0" w:after="283"/>
              <w:jc w:val="left"/>
              <w:rPr/>
            </w:pPr>
            <w:r>
              <w:rPr/>
              <w:t>(f)</w:t>
            </w:r>
          </w:p>
        </w:tc>
        <w:tc>
          <w:tcPr>
            <w:tcW w:w="9031" w:type="dxa"/>
            <w:tcBorders/>
            <w:vAlign w:val="center"/>
          </w:tcPr>
          <w:p>
            <w:pPr>
              <w:pStyle w:val="TableContents"/>
              <w:bidi w:val="0"/>
              <w:spacing w:before="0" w:after="0"/>
              <w:jc w:val="left"/>
              <w:rPr/>
            </w:pPr>
            <w:r>
              <w:rPr/>
              <w:t>The responses of the Reporting Persons with respect to Row 6 of their respective cover pages to this Schedule 13D are incorporated herein by reference.</w:t>
            </w:r>
          </w:p>
        </w:tc>
      </w:tr>
      <w:tr>
        <w:trPr/>
        <w:tc>
          <w:tcPr>
            <w:tcW w:w="1174" w:type="dxa"/>
            <w:tcBorders/>
            <w:vAlign w:val="center"/>
          </w:tcPr>
          <w:p>
            <w:pPr>
              <w:pStyle w:val="TableContents"/>
              <w:bidi w:val="0"/>
              <w:spacing w:before="0" w:after="283"/>
              <w:jc w:val="left"/>
              <w:rPr/>
            </w:pPr>
            <w:r>
              <w:rPr/>
              <w:t>Item 3.</w:t>
            </w:r>
          </w:p>
        </w:tc>
        <w:tc>
          <w:tcPr>
            <w:tcW w:w="9031" w:type="dxa"/>
            <w:tcBorders/>
            <w:vAlign w:val="center"/>
          </w:tcPr>
          <w:p>
            <w:pPr>
              <w:pStyle w:val="TableContents"/>
              <w:bidi w:val="0"/>
              <w:spacing w:before="0" w:after="283"/>
              <w:jc w:val="left"/>
              <w:rPr/>
            </w:pPr>
            <w:r>
              <w:rPr/>
              <w:t>Source and Amount of Funds or Other Consideration</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The purchase of the securities reported herein was funded with the working capital of FNL. On August 21, 2026, FNL entered into a securities purchase agreement (the "Purchase Agreement") with Expion Energy, Inc. (the "Issuer" or the "Company") and the other purchasers identified on the signature pages thereto in a private placement, pursuant to which FNL purchased (i) an 8% Convertible Debenture Due August 21, 2029 (the "Convertible Debenture") in the aggregate principal amount of $4,500,000, initially convertible into 4,500 shares (the "Preferred Conversion Shares") of a series of the Issuer's preferred stock to be designated the Series A-1 8% Convertible Preferred Stock (the "Series A-1 Preferred Stock"), and (ii) a Common Stock Purchase Warrant (the "Warrant") to purchase up to 1,058,609 shares of Common Stock, which is equal to 100% of the shares of Common Stock issuable upon conversion of the shares of the Preferred Conversion Shares. Subject to the Company receiving shareholder approval and filing the Certificate of Designation of the Series A-1 Convertible Preferred Stock (the "Certificate of Designation") with the Nevada Secretary of State, the Convertible Debenture will automatically convert into Preferred Conversion Shares. The Preferred Conversion Shares may subsequently be converted into shares of Common Stock on the terms set forth in the Certificate of Designation (once it is filed). Unless specifically defined herein, or unless the context requires otherwise, capitalized terms used herein have the meanings set forth in the Purchase Agreement.</w:t>
            </w:r>
          </w:p>
        </w:tc>
      </w:tr>
      <w:tr>
        <w:trPr/>
        <w:tc>
          <w:tcPr>
            <w:tcW w:w="1174" w:type="dxa"/>
            <w:tcBorders/>
            <w:vAlign w:val="center"/>
          </w:tcPr>
          <w:p>
            <w:pPr>
              <w:pStyle w:val="TableContents"/>
              <w:bidi w:val="0"/>
              <w:spacing w:before="0" w:after="283"/>
              <w:jc w:val="left"/>
              <w:rPr/>
            </w:pPr>
            <w:r>
              <w:rPr/>
              <w:t>Item 4.</w:t>
            </w:r>
          </w:p>
        </w:tc>
        <w:tc>
          <w:tcPr>
            <w:tcW w:w="9031" w:type="dxa"/>
            <w:tcBorders/>
            <w:vAlign w:val="center"/>
          </w:tcPr>
          <w:p>
            <w:pPr>
              <w:pStyle w:val="TableContents"/>
              <w:bidi w:val="0"/>
              <w:spacing w:before="0" w:after="283"/>
              <w:jc w:val="left"/>
              <w:rPr/>
            </w:pPr>
            <w:r>
              <w:rPr/>
              <w:t>Purpose of Transaction</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The securities were acquired for investment purposes. One or more persons identified in Item 2 may buy or sell additional securities of the Issuer from time to time in open market or private transactions, depending on its evaluation of the Issuer's business, prospects and financial condition, the market for the Issuer's securities, other developments concerning the Issuer, other investment opportunities available to such person, general economic, money market and stock market conditions, and other considerations as such person deems relevant. Except as described herein, none of the persons identified in Item 2 have a present plan or proposal that relate to or would result in any of the transactions described in subparagraphs (a) through (j) of Item 4 of Schedule 13D of the Securities Exchange Act of 1934 (the "Act"). However, each such person reserves the right to propose or participate in future transactions which may result in one or more of such actions. In addition, consistent with their investment purpose, such persons may engage in communications with persons associated with the Issuer, including stockholders of the Issuer, officers of the Issuer and/or members of the board of directors of the Issuer, to discuss matters regarding the Issuer, including but not limited to its operations and strategic direction. Until the date on which this Schedule 13D was filed with the SEC, Mr. Hammer served as a director of the Issuer and therefore engaged in discussions with the Issuer's board of directors and management as part of his duties as a director. Pursuant to the Purchase Agreement, subject to the Issuer receiving shareholder approval, FNL (together with the other purchasers) may also elect to purchase additional shares of the Company's convertible preferred stock (the "AIR Preferred Stock") with an aggregate stated value of up to $91,000,000, representing up to 91,000 shares of AIR Preferred Stock (the "Additional Investment Right"). At each additional closing of the sale of AIR Preferred Stock pursuant to an exercise of the Additional Investment Right, the AIR Preferred Stock will be issued in a separate series (e.g., Series A-2, Series A-3, etc.) pursuant to a new certificate of designation for each such series filed by the Company with the Nevada Secretary of State. FNL (together with the other purchasers) has the right to participate in up to 33% of any subsequent issuance by the Company of Common Stock or Common Stock Equivalents, on the same terms, conditions and price provided for in such financing. The Company expects to use the net proceeds from the private placement for (i) the acquisition of certain oil and gas assets in Eastern Louisiana, and (ii) general corporate purposes, including working capital.</w:t>
            </w:r>
          </w:p>
        </w:tc>
      </w:tr>
      <w:tr>
        <w:trPr/>
        <w:tc>
          <w:tcPr>
            <w:tcW w:w="1174" w:type="dxa"/>
            <w:tcBorders/>
            <w:vAlign w:val="center"/>
          </w:tcPr>
          <w:p>
            <w:pPr>
              <w:pStyle w:val="TableContents"/>
              <w:bidi w:val="0"/>
              <w:spacing w:before="0" w:after="283"/>
              <w:jc w:val="left"/>
              <w:rPr/>
            </w:pPr>
            <w:r>
              <w:rPr/>
              <w:t>Item 5.</w:t>
            </w:r>
          </w:p>
        </w:tc>
        <w:tc>
          <w:tcPr>
            <w:tcW w:w="9031" w:type="dxa"/>
            <w:tcBorders/>
            <w:vAlign w:val="center"/>
          </w:tcPr>
          <w:p>
            <w:pPr>
              <w:pStyle w:val="TableContents"/>
              <w:bidi w:val="0"/>
              <w:spacing w:before="0" w:after="283"/>
              <w:jc w:val="left"/>
              <w:rPr/>
            </w:pPr>
            <w:r>
              <w:rPr/>
              <w:t>Interest in Securities of the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spacing w:before="0" w:after="0"/>
              <w:jc w:val="left"/>
              <w:rPr/>
            </w:pPr>
            <w:r>
              <w:rPr/>
              <w:t>The responses of the Reporting Persons with respect to Rows 11 and 13 of their respective cover pages to this Schedule 13D are incorporated herein by reference. Calculations of the number and the percentage of the shares of Common Stock beneficially owned by the Reporting Persons are based on 962,335 shares outstanding as of August 6, 2026, as reported in the Issuer's Form 10-Q for the quarter ended June 30, 2026 filed on August 10, 2026 with the Securities and Exchange Commission.</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spacing w:before="0" w:after="0"/>
              <w:jc w:val="left"/>
              <w:rPr/>
            </w:pPr>
            <w:r>
              <w:rPr/>
              <w:t>The responses of the Reporting Persons with respect to Row 11 of their respective cover pages to this Schedule 13D are incorporated herein by reference.</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spacing w:before="0" w:after="0"/>
              <w:jc w:val="left"/>
              <w:rPr/>
            </w:pPr>
            <w:r>
              <w:rPr/>
              <w:t>The information set forth or incorporated by reference into Item 3 and Item 6 of this Schedule 13D is incorporated herein by reference in its entirety to this Item 5. Except for the transaction described in Item 3 of this Schedule 13D, the Reporting Persons have not engaged in any other transactions in the sixty days prior to the filing of this Schedule 13D.</w:t>
            </w:r>
          </w:p>
        </w:tc>
      </w:tr>
      <w:tr>
        <w:trPr/>
        <w:tc>
          <w:tcPr>
            <w:tcW w:w="1174" w:type="dxa"/>
            <w:tcBorders/>
            <w:vAlign w:val="center"/>
          </w:tcPr>
          <w:p>
            <w:pPr>
              <w:pStyle w:val="TableContents"/>
              <w:bidi w:val="0"/>
              <w:spacing w:before="0" w:after="283"/>
              <w:jc w:val="left"/>
              <w:rPr/>
            </w:pPr>
            <w:r>
              <w:rPr/>
              <w:t>(d)</w:t>
            </w:r>
          </w:p>
        </w:tc>
        <w:tc>
          <w:tcPr>
            <w:tcW w:w="9031"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the proceeds from the sale of, the shares of Common Stock subject to this Schedule 13D.</w:t>
            </w:r>
          </w:p>
        </w:tc>
      </w:tr>
      <w:tr>
        <w:trPr/>
        <w:tc>
          <w:tcPr>
            <w:tcW w:w="1174" w:type="dxa"/>
            <w:tcBorders/>
            <w:vAlign w:val="center"/>
          </w:tcPr>
          <w:p>
            <w:pPr>
              <w:pStyle w:val="TableContents"/>
              <w:bidi w:val="0"/>
              <w:spacing w:before="0" w:after="283"/>
              <w:jc w:val="left"/>
              <w:rPr/>
            </w:pPr>
            <w:r>
              <w:rPr/>
              <w:t>(e)</w:t>
            </w:r>
          </w:p>
        </w:tc>
        <w:tc>
          <w:tcPr>
            <w:tcW w:w="9031" w:type="dxa"/>
            <w:tcBorders/>
            <w:vAlign w:val="center"/>
          </w:tcPr>
          <w:p>
            <w:pPr>
              <w:pStyle w:val="TableContents"/>
              <w:bidi w:val="0"/>
              <w:spacing w:before="0" w:after="0"/>
              <w:jc w:val="left"/>
              <w:rPr/>
            </w:pPr>
            <w:r>
              <w:rPr/>
              <w:t>Not applicable</w:t>
            </w:r>
          </w:p>
        </w:tc>
      </w:tr>
      <w:tr>
        <w:trPr/>
        <w:tc>
          <w:tcPr>
            <w:tcW w:w="1174" w:type="dxa"/>
            <w:tcBorders/>
            <w:vAlign w:val="center"/>
          </w:tcPr>
          <w:p>
            <w:pPr>
              <w:pStyle w:val="TableContents"/>
              <w:bidi w:val="0"/>
              <w:spacing w:before="0" w:after="283"/>
              <w:jc w:val="left"/>
              <w:rPr/>
            </w:pPr>
            <w:r>
              <w:rPr/>
              <w:t>Item 6.</w:t>
            </w:r>
          </w:p>
        </w:tc>
        <w:tc>
          <w:tcPr>
            <w:tcW w:w="903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The information set forth in or incorporated by reference into Item 3, Item 4 and Item 5 of this Schedule 13D is incorporated herein by reference in its entirety to this Item 6. Convertible Debenture The Convertible Debenture issued to FNL have an initial aggregate principal amount of $4,500,000 and matures on August 21, 2029 (the "Maturity Date"). Upon the Company's receipt of Shareholder Approval and the filing of the Certificate of Designation with the Nevada Secretary of State, the Convertible Debenture will automatically convert into shares of Series A-1 Preferred Stock at a conversion price of $1,000 per share, resulting in the issuance of up to 4,500 Preferred Conversion Shares. The Convertible Debenture accrues interest on the aggregate unconverted and then outstanding principal amount at the Applicable Federal Rate from the original issue date thereof, increasing to 8% per annum commencing on the first anniversary of the original issue date. Interest is payable quarterly on January 1, April 1, July 1 and October 1, beginning on the first such date after the original issue date, on the conversion date, and on the Maturity Date, in each case payable in cash. From and after the occurrence and during the continuance of an Event of Default (as defined in the Convertible Debenture), the interest rate will increase by 5% per annum. The Convertible Debenture is the direct, unsecured debt obligations of the Company. So long as at least $2,250,000 in aggregate principal amount of the Convertible Debentures remains outstanding, the Company is subject to certain negative covenants, including restrictions on the incurrence of additional indebtedness, the creation of liens, the payment of cash dividends, and the repurchase of the Company's equity securities, in each case subject to certain exceptions. The Company may not prepay any portion of the principal amount of a Convertible Debenture without the prior written consent of the holders of the Convertible Debentures. Series A-1 Preferred Stock and AIR Preferred Stock The stated value of the Series A-1 Preferred Stock is $1,000 per share, subject to increase as set forth in the Certificate of Designation, and the stated value of the AIR Preferred Stock is $1,000 per share (as applicable, the "Stated Value"). Each share of the Series A-1 Preferred Stock and the AIR Preferred Stock will be convertible, at any time and from time to time, from and after the applicable original issue date thereof at the option of the holder thereof, into that number of shares of Common Stock (subject to the Beneficial Ownership Limitation (as defined in the Certificate of Designation) and the Issuable Maximum) determined by dividing the Stated Value of such share of the Series A-1 Preferred Stock and the AIR Preferred Stock, as applicable, by the conversion price thereof. The initial conversion price for the Series A-1 Preferred Stock is $4.25 per share, which is equal to 105% of the average of the daily VWAPs for the five trading days prior to August 21, 2026, and is subject to adjustment as described in the Certificate of Designation, including in the event of dilutive issuances (subject to certain exceptions). The Series A-1 Preferred Stock and AIR Preferred Stock bear cumulative dividends that accrue at a per annum rate of 8%, payable quarterly on January 1, April 1, July 1 and October 1, beginning on the first anniversary of the issuance date of the Series A-1 Preferred Stock and AIR Preferred Stock, as applicable, and on each Conversion Date (as defined in the applicable certificate of designation) thereafter, payable in cash, or at the Company's option, in duly authorized, validly issued, fully paid and non-assessable registered shares of Common Stock, or a combination thereof. Except as otherwise set forth in the applicable certificate of designation or required by law, the Series A-1 Preferred Stock and AIR Preferred Stock have no voting rights. Warrant Pursuant to the Purchase Agreement, the Company agreed to issue to FNL a Warrant to purchase shares of Common Stock, equal to 100% of the shares of Common Stock issuable upon conversion of the shares of the Series A-1 Preferred Stock to be issued upon conversion of the Debenture. The Warrant is exercisable for an aggregate of up to 1,058,609 shares of Common Stock. The Warrant has an initial exercise price per share of $4.25, which is equal to the initial conversion price of the Series A-1 Preferred Stock (the "Exercise Price"). The Exercise Price is subject to adjustment on the same terms of adjustment set forth in the Certificate of Designation, including in the event of dilutive issuances (subject to certain exceptions). The Warrant will be exercisable, subject to the Beneficial Ownership Limitation and the Issuable Maximum, immediately upon issuance, and will have a term of exercise equal to five years. If a registration statement under the Securities Act registering the resale of the shares of Common Stock underlying the Warrants is not effective, FNL may elect to exercise the Warrants through a cashless exercise. Registration Rights Agreement In connection with the Purchase Agreement, the Company entered into a registration rights agreement (the "Registration Rights Agreement") with the FNL and the other purchasers pursuant to which the Company agreed to file (a) a resale registration statement with respect to the public resale of the Common Stock issuable upon conversion of the Series A-1 Preferred Stock and upon exercise of the Warrants not later than 20 days after the Company receives Shareholder Approval, and to use commercially reasonable efforts to cause such registration statement to become effective no later than 45 days after the Company receives Shareholder Approval, or 75 days in the event of a "full review" by the Securities and Exchange Commission (the "SEC"), and (b) a resale registration statement with respect to the public resale of the Common Stock issuable upon conversion of the AIR Preferred Stock not later than the earliest practical date on which the Company is permitted by SEC guidance to file such registration statement after each closing of the exercise of any Additional Investment Right, and to use commercially reasonable efforts to cause each such registration statement to become effective no later than 30 days after filing, or 60 days in the event of a "full review" by the SEC. The foregoing descriptions of the Purchase Agreement, Debenture, Warrant, Certificate of Designation, and Registration Rights Agreement do not purport to be complete and are subject to and qualified in their entirety by reference to the complete text of such documents, which are attached as Exhibits B, C, D, E and F, and are incorporated herein by reference.</w:t>
            </w:r>
          </w:p>
        </w:tc>
      </w:tr>
      <w:tr>
        <w:trPr/>
        <w:tc>
          <w:tcPr>
            <w:tcW w:w="1174" w:type="dxa"/>
            <w:tcBorders/>
            <w:vAlign w:val="center"/>
          </w:tcPr>
          <w:p>
            <w:pPr>
              <w:pStyle w:val="TableContents"/>
              <w:bidi w:val="0"/>
              <w:spacing w:before="0" w:after="283"/>
              <w:jc w:val="left"/>
              <w:rPr/>
            </w:pPr>
            <w:r>
              <w:rPr/>
              <w:t>Item 7.</w:t>
            </w:r>
          </w:p>
        </w:tc>
        <w:tc>
          <w:tcPr>
            <w:tcW w:w="9031" w:type="dxa"/>
            <w:tcBorders/>
            <w:vAlign w:val="center"/>
          </w:tcPr>
          <w:p>
            <w:pPr>
              <w:pStyle w:val="TableContents"/>
              <w:bidi w:val="0"/>
              <w:spacing w:before="0" w:after="283"/>
              <w:jc w:val="left"/>
              <w:rPr/>
            </w:pPr>
            <w:r>
              <w:rPr/>
              <w:t>Material to be Filed as Exhibits.</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Exhibit A - Joint Filing Agreement Exhibit B - Form of Certificate of Designation of Preferences, Rights and Limitations of Series A-1 8% Convertible Preferred Stock Exhibit C - Form of 8% Convertible Debenture Due August 21, 2029 Exhibit D - Form of Common Stock Purchase Warrant Exhibit E - Form of Securities Purchase Agreement Exhibit F - Registration Rights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Five Narrow Lane,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Arie Rabinowitz</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Managing Member of the general partner, Five Narrow Lane General Partner, LLC</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8442" w:type="dxa"/>
        <w:jc w:val="left"/>
        <w:tblInd w:w="0" w:type="dxa"/>
        <w:tblLayout w:type="fixed"/>
        <w:tblCellMar>
          <w:top w:w="28" w:type="dxa"/>
          <w:left w:w="28" w:type="dxa"/>
          <w:bottom w:w="28" w:type="dxa"/>
          <w:right w:w="28" w:type="dxa"/>
        </w:tblCellMar>
      </w:tblPr>
      <w:tblGrid>
        <w:gridCol w:w="4221"/>
        <w:gridCol w:w="4221"/>
      </w:tblGrid>
      <w:tr>
        <w:trPr/>
        <w:tc>
          <w:tcPr>
            <w:tcW w:w="4221" w:type="dxa"/>
            <w:tcBorders/>
            <w:vAlign w:val="center"/>
          </w:tcPr>
          <w:p>
            <w:pPr>
              <w:pStyle w:val="TableContents"/>
              <w:bidi w:val="0"/>
              <w:spacing w:before="0" w:after="0"/>
              <w:jc w:val="left"/>
              <w:rPr/>
            </w:pPr>
            <w:r>
              <w:rPr/>
              <w:t> </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0"/>
                    <w:jc w:val="left"/>
                    <w:rPr/>
                  </w:pPr>
                  <w:r>
                    <w:rPr/>
                    <w:t>Five Narrow Lane General Partner, LLC</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Arie Rabinowitz</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Managing Member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276"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Joseph Hammer</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Joseph Hammer</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Joseph Hammer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Arie Rabinowitz</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Arie Rabinowitz</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Arie Rabinowitz</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276"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pPr>
      <w:bookmarkStart w:id="26" w:name="ex_b.htm"/>
      <w:bookmarkStart w:id="27" w:name="ksex_b"/>
      <w:bookmarkEnd w:id="26"/>
      <w:bookmarkEnd w:id="27"/>
      <w:r>
        <w:rPr/>
        <w:t> </w:t>
      </w:r>
      <w:r>
        <w:rPr>
          <w:rFonts w:ascii="Times New Roman;Times;Serif" w:hAnsi="Times New Roman;Times;Serif"/>
          <w:b/>
          <w:sz w:val="20"/>
        </w:rPr>
        <w:t>Exhibit B</w:t>
      </w:r>
      <w:r>
        <w:br w:type="page"/>
      </w:r>
    </w:p>
    <w:p>
      <w:pPr>
        <w:pStyle w:val="TextBody"/>
        <w:bidi w:val="0"/>
        <w:jc w:val="center"/>
        <w:rPr>
          <w:caps/>
        </w:rPr>
      </w:pPr>
      <w:r>
        <w:rPr>
          <w:caps/>
        </w:rPr>
        <w:t> </w:t>
      </w:r>
    </w:p>
    <w:p>
      <w:pPr>
        <w:pStyle w:val="TextBody"/>
        <w:bidi w:val="0"/>
        <w:jc w:val="center"/>
        <w:rPr>
          <w:rFonts w:ascii="Times New Roman;Times;Serif" w:hAnsi="Times New Roman;Times;Serif"/>
          <w:b/>
          <w:caps/>
          <w:sz w:val="20"/>
        </w:rPr>
      </w:pPr>
      <w:r>
        <w:rPr>
          <w:rFonts w:ascii="Times New Roman;Times;Serif" w:hAnsi="Times New Roman;Times;Serif"/>
          <w:b/>
          <w:caps/>
          <w:sz w:val="20"/>
        </w:rPr>
        <w:t>expion ENERGY, inc.</w:t>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 xml:space="preserve">CERTIFICATE OF DESIGNATION OF PREFERENCES, </w:t>
      </w:r>
    </w:p>
    <w:p>
      <w:pPr>
        <w:pStyle w:val="TextBody"/>
        <w:bidi w:val="0"/>
        <w:jc w:val="center"/>
        <w:rPr>
          <w:rFonts w:ascii="Times New Roman;Times;Serif" w:hAnsi="Times New Roman;Times;Serif"/>
          <w:b/>
          <w:sz w:val="20"/>
        </w:rPr>
      </w:pPr>
      <w:r>
        <w:rPr>
          <w:rFonts w:ascii="Times New Roman;Times;Serif" w:hAnsi="Times New Roman;Times;Serif"/>
          <w:b/>
          <w:sz w:val="20"/>
        </w:rPr>
        <w:t>RIGHTS AND LIMITATIONS</w:t>
      </w:r>
    </w:p>
    <w:p>
      <w:pPr>
        <w:pStyle w:val="TextBody"/>
        <w:bidi w:val="0"/>
        <w:jc w:val="center"/>
        <w:rPr>
          <w:rFonts w:ascii="Times New Roman;Times;Serif" w:hAnsi="Times New Roman;Times;Serif"/>
          <w:b/>
          <w:sz w:val="20"/>
        </w:rPr>
      </w:pPr>
      <w:r>
        <w:rPr>
          <w:rFonts w:ascii="Times New Roman;Times;Serif" w:hAnsi="Times New Roman;Times;Serif"/>
          <w:b/>
          <w:sz w:val="20"/>
        </w:rPr>
        <w:t>OF</w:t>
      </w:r>
    </w:p>
    <w:p>
      <w:pPr>
        <w:pStyle w:val="TextBody"/>
        <w:bidi w:val="0"/>
        <w:jc w:val="center"/>
        <w:rPr>
          <w:rFonts w:ascii="Times New Roman;Times;Serif" w:hAnsi="Times New Roman;Times;Serif"/>
          <w:b/>
          <w:sz w:val="20"/>
        </w:rPr>
      </w:pPr>
      <w:r>
        <w:rPr>
          <w:rFonts w:ascii="Times New Roman;Times;Serif" w:hAnsi="Times New Roman;Times;Serif"/>
          <w:b/>
          <w:sz w:val="20"/>
        </w:rPr>
        <w:t xml:space="preserve">SERIES </w:t>
      </w:r>
      <w:r>
        <w:rPr>
          <w:rFonts w:ascii="Times New Roman;Times;Serif" w:hAnsi="Times New Roman;Times;Serif"/>
          <w:b/>
          <w:caps/>
          <w:sz w:val="20"/>
        </w:rPr>
        <w:t>A-1 8</w:t>
      </w:r>
      <w:r>
        <w:rPr>
          <w:rFonts w:ascii="Times New Roman;Times;Serif" w:hAnsi="Times New Roman;Times;Serif"/>
          <w:b/>
          <w:sz w:val="20"/>
        </w:rPr>
        <w:t>% CONVERTIBLE PREFERRED STOCK</w:t>
      </w:r>
    </w:p>
    <w:p>
      <w:pPr>
        <w:pStyle w:val="TextBody"/>
        <w:bidi w:val="0"/>
        <w:jc w:val="center"/>
        <w:rPr/>
      </w:pPr>
      <w:r>
        <w:rPr/>
        <w:t> </w:t>
      </w:r>
    </w:p>
    <w:p>
      <w:pPr>
        <w:pStyle w:val="TextBody"/>
        <w:bidi w:val="0"/>
        <w:ind w:left="0" w:right="0" w:firstLine="360"/>
        <w:jc w:val="both"/>
        <w:rPr>
          <w:rFonts w:ascii="Times New Roman;Times;Serif" w:hAnsi="Times New Roman;Times;Serif"/>
          <w:sz w:val="20"/>
        </w:rPr>
      </w:pPr>
      <w:r>
        <w:rPr>
          <w:rFonts w:ascii="Times New Roman;Times;Serif" w:hAnsi="Times New Roman;Times;Serif"/>
          <w:sz w:val="20"/>
        </w:rPr>
        <w:t>The undersigned, [__________], does hereby certify that:</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1.       [_____] is the [__________] of [_____], a Nevada corporation (the “</w:t>
      </w:r>
      <w:r>
        <w:rPr>
          <w:rFonts w:ascii="Times New Roman;Times;Serif" w:hAnsi="Times New Roman;Times;Serif"/>
          <w:sz w:val="20"/>
          <w:u w:val="single"/>
        </w:rPr>
        <w:t>Corporation</w:t>
      </w:r>
      <w:r>
        <w:rPr>
          <w:rFonts w:ascii="Times New Roman;Times;Serif" w:hAnsi="Times New Roman;Times;Serif"/>
          <w:sz w:val="20"/>
        </w:rPr>
        <w:t>”).</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2.       The following resolutions were duly adopted by the board of directors of the Corporation:</w:t>
      </w:r>
    </w:p>
    <w:p>
      <w:pPr>
        <w:pStyle w:val="TextBody"/>
        <w:bidi w:val="0"/>
        <w:jc w:val="both"/>
        <w:rPr/>
      </w:pPr>
      <w:r>
        <w:rPr/>
        <w:t> </w:t>
      </w:r>
    </w:p>
    <w:p>
      <w:pPr>
        <w:pStyle w:val="TextBody"/>
        <w:bidi w:val="0"/>
        <w:ind w:left="0" w:right="0" w:firstLine="916"/>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Articles of Incorporation of the Corporation (as amended, the “</w:t>
      </w:r>
      <w:r>
        <w:rPr>
          <w:rFonts w:ascii="Times New Roman;Times;Serif" w:hAnsi="Times New Roman;Times;Serif"/>
          <w:sz w:val="20"/>
          <w:u w:val="single"/>
        </w:rPr>
        <w:t>Articles</w:t>
      </w:r>
      <w:r>
        <w:rPr>
          <w:rFonts w:ascii="Times New Roman;Times;Serif" w:hAnsi="Times New Roman;Times;Serif"/>
          <w:sz w:val="20"/>
        </w:rPr>
        <w:t>”) authorize the issuance of up to 20,000,000 shares of preferred stock, par value $0.001 per share, issuable from time to time by the Corporation in one or more series and for such consideration as shall be determined by the board of directors of the Corporation (the “</w:t>
      </w:r>
      <w:r>
        <w:rPr>
          <w:rFonts w:ascii="Times New Roman;Times;Serif" w:hAnsi="Times New Roman;Times;Serif"/>
          <w:sz w:val="20"/>
          <w:u w:val="single"/>
        </w:rPr>
        <w:t>Board of Directors</w:t>
      </w:r>
      <w:r>
        <w:rPr>
          <w:rFonts w:ascii="Times New Roman;Times;Serif" w:hAnsi="Times New Roman;Times;Serif"/>
          <w:sz w:val="20"/>
        </w:rPr>
        <w:t>”), of which no shares of preferred stock have been issued; and</w:t>
      </w:r>
    </w:p>
    <w:p>
      <w:pPr>
        <w:pStyle w:val="TextBody"/>
        <w:bidi w:val="0"/>
        <w:jc w:val="both"/>
        <w:rPr/>
      </w:pPr>
      <w:r>
        <w:rPr/>
        <w:t> </w:t>
      </w:r>
    </w:p>
    <w:p>
      <w:pPr>
        <w:pStyle w:val="TextBody"/>
        <w:bidi w:val="0"/>
        <w:ind w:left="0" w:right="0" w:firstLine="916"/>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shareholders of the Corporation previously authorized the Board of Directors, pursuant to an amendment to the Articles, to designate the voting powers, designations, preferences, limitations, restrictions and relative rights of the Preferred Stock, and based on such authority, the Board of Directors now desires to designate a series of the Preferred Stock and to determine the consideration to be paid for the preferred stock.</w:t>
      </w:r>
    </w:p>
    <w:p>
      <w:pPr>
        <w:pStyle w:val="TextBody"/>
        <w:bidi w:val="0"/>
        <w:jc w:val="both"/>
        <w:rPr/>
      </w:pPr>
      <w:r>
        <w:rPr/>
        <w:t> </w:t>
      </w:r>
    </w:p>
    <w:p>
      <w:pPr>
        <w:pStyle w:val="TextBody"/>
        <w:bidi w:val="0"/>
        <w:ind w:left="0" w:right="0" w:firstLine="916"/>
        <w:jc w:val="both"/>
        <w:rPr>
          <w:rFonts w:ascii="Times New Roman;Times;Serif" w:hAnsi="Times New Roman;Times;Serif"/>
          <w:sz w:val="20"/>
        </w:rPr>
      </w:pPr>
      <w:r>
        <w:rPr>
          <w:rFonts w:ascii="Times New Roman;Times;Serif" w:hAnsi="Times New Roman;Times;Serif"/>
          <w:b/>
          <w:sz w:val="20"/>
        </w:rPr>
        <w:t>NOW, THEREFORE, BE IT RESOLVED</w:t>
      </w:r>
      <w:r>
        <w:rPr>
          <w:rFonts w:ascii="Times New Roman;Times;Serif" w:hAnsi="Times New Roman;Times;Serif"/>
          <w:sz w:val="20"/>
        </w:rPr>
        <w:t>, that the Board of Directors does hereby provide for the issuance of a series of preferred stock for cash or exchange of other securities, rights or property of the Corporation, and does hereby designate the rights, preferences, restrictions and other matters relating to such series of preferred stock as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TERMS OF SERIES A-1 PREFERRED STOCK</w:t>
      </w:r>
    </w:p>
    <w:p>
      <w:pPr>
        <w:pStyle w:val="TextBody"/>
        <w:bidi w:val="0"/>
        <w:spacing w:before="0" w:after="283"/>
        <w:jc w:val="left"/>
        <w:rPr/>
      </w:pPr>
      <w:r>
        <w:rPr/>
        <w:t> </w:t>
      </w:r>
    </w:p>
    <w:p>
      <w:pPr>
        <w:pStyle w:val="TextBody"/>
        <w:bidi w:val="0"/>
        <w:ind w:left="0" w:right="0" w:firstLine="1440"/>
        <w:jc w:val="both"/>
        <w:rPr>
          <w:rFonts w:ascii="Times New Roman;Times;Serif" w:hAnsi="Times New Roman;Times;Serif"/>
          <w:sz w:val="20"/>
        </w:rPr>
      </w:pPr>
      <w:r>
        <w:rPr>
          <w:rFonts w:ascii="Times New Roman;Times;Serif" w:hAnsi="Times New Roman;Times;Serif"/>
          <w:sz w:val="20"/>
          <w:u w:val="single"/>
        </w:rPr>
        <w:t>Section 1</w:t>
      </w:r>
      <w:r>
        <w:rPr>
          <w:rFonts w:ascii="Times New Roman;Times;Serif" w:hAnsi="Times New Roman;Times;Serif"/>
          <w:sz w:val="20"/>
        </w:rPr>
        <w:t xml:space="preserve">. </w:t>
        <w:tab/>
      </w:r>
      <w:r>
        <w:rPr>
          <w:rFonts w:ascii="Times New Roman;Times;Serif" w:hAnsi="Times New Roman;Times;Serif"/>
          <w:sz w:val="20"/>
          <w:u w:val="single"/>
        </w:rPr>
        <w:t>Definitions</w:t>
      </w:r>
      <w:r>
        <w:rPr>
          <w:rFonts w:ascii="Times New Roman;Times;Serif" w:hAnsi="Times New Roman;Times;Serif"/>
          <w:sz w:val="20"/>
        </w:rPr>
        <w:t>. For the purposes hereof, the following terms shall have the following meanings: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Affiliate</w:t>
      </w:r>
      <w:r>
        <w:rPr>
          <w:rFonts w:ascii="Times New Roman;Times;Serif" w:hAnsi="Times New Roman;Times;Serif"/>
          <w:sz w:val="20"/>
        </w:rPr>
        <w:t>” means any Person that, directly or indirectly through one or more intermediaries, controls or is controlled by or is under common control with a Person, as such terms are used in and construed under Rule 405 of the Securities Act.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Alternate Consideration</w:t>
      </w:r>
      <w:r>
        <w:rPr>
          <w:rFonts w:ascii="Times New Roman;Times;Serif" w:hAnsi="Times New Roman;Times;Serif"/>
          <w:sz w:val="20"/>
        </w:rPr>
        <w:t>” shall have the meaning set forth in Section 7(e).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Applicable Conversion Price</w:t>
      </w:r>
      <w:r>
        <w:rPr>
          <w:rFonts w:ascii="Times New Roman;Times;Serif" w:hAnsi="Times New Roman;Times;Serif"/>
          <w:sz w:val="20"/>
        </w:rPr>
        <w:t>” shall have the meaning set forth in Section 7(b).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Attribution Parties</w:t>
      </w:r>
      <w:r>
        <w:rPr>
          <w:rFonts w:ascii="Times New Roman;Times;Serif" w:hAnsi="Times New Roman;Times;Serif"/>
          <w:sz w:val="20"/>
        </w:rPr>
        <w:t>” shall have the meaning set forth in Section 6(d).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Base Conversion Price</w:t>
      </w:r>
      <w:r>
        <w:rPr>
          <w:rFonts w:ascii="Times New Roman;Times;Serif" w:hAnsi="Times New Roman;Times;Serif"/>
          <w:sz w:val="20"/>
        </w:rPr>
        <w:t>” shall have the meaning set forth in Section 7(b).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Beneficial Ownership Limitation</w:t>
      </w:r>
      <w:r>
        <w:rPr>
          <w:rFonts w:ascii="Times New Roman;Times;Serif" w:hAnsi="Times New Roman;Times;Serif"/>
          <w:sz w:val="20"/>
        </w:rPr>
        <w:t>” shall have the meaning set forth in Section 6(d).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Buy-In</w:t>
      </w:r>
      <w:r>
        <w:rPr>
          <w:rFonts w:ascii="Times New Roman;Times;Serif" w:hAnsi="Times New Roman;Times;Serif"/>
          <w:sz w:val="20"/>
        </w:rPr>
        <w:t>” shall have the meaning set forth in Section 6(c).</w:t>
      </w:r>
    </w:p>
    <w:p>
      <w:pPr>
        <w:pStyle w:val="TextBody"/>
        <w:bidi w:val="0"/>
        <w:spacing w:before="0" w:after="283"/>
        <w:jc w:val="left"/>
        <w:rPr/>
      </w:pPr>
      <w:r>
        <w:rPr/>
        <w:t> </w:t>
      </w:r>
    </w:p>
    <w:p>
      <w:pPr>
        <w:pStyle w:val="TextBody"/>
        <w:bidi w:val="0"/>
        <w:ind w:left="720" w:right="0" w:firstLine="720"/>
        <w:jc w:val="both"/>
        <w:rPr/>
      </w:pPr>
      <w:r>
        <w:rPr/>
        <w:t>“</w:t>
      </w:r>
      <w:r>
        <w:rPr>
          <w:rFonts w:ascii="Times New Roman;Times;Serif" w:hAnsi="Times New Roman;Times;Serif"/>
          <w:sz w:val="20"/>
          <w:u w:val="single"/>
        </w:rPr>
        <w:t>Closing</w:t>
      </w:r>
      <w:r>
        <w:rPr>
          <w:rFonts w:ascii="Times New Roman;Times;Serif" w:hAnsi="Times New Roman;Times;Serif"/>
          <w:sz w:val="20"/>
        </w:rPr>
        <w:t>” shall have the meaning ascribed to such term in Section 1.1 of the Purchase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Commission</w:t>
      </w:r>
      <w:r>
        <w:rPr>
          <w:rFonts w:ascii="Times New Roman;Times;Serif" w:hAnsi="Times New Roman;Times;Serif"/>
          <w:sz w:val="20"/>
        </w:rPr>
        <w:t>” means the United States Securities and Exchange Commission.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Common Stock</w:t>
      </w:r>
      <w:r>
        <w:rPr>
          <w:rFonts w:ascii="Times New Roman;Times;Serif" w:hAnsi="Times New Roman;Times;Serif"/>
          <w:sz w:val="20"/>
        </w:rPr>
        <w:t>” means the common stock of the Corporation, par value $0.001 per share, and any other class of securities into which such securities may hereafter be reclassified or changed.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Common Stock Equivalents</w:t>
      </w:r>
      <w:r>
        <w:rPr>
          <w:rFonts w:ascii="Times New Roman;Times;Serif" w:hAnsi="Times New Roman;Times;Serif"/>
          <w:sz w:val="20"/>
        </w:rPr>
        <w:t>” means any securities of the Corporation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Amount</w:t>
      </w:r>
      <w:r>
        <w:rPr>
          <w:rFonts w:ascii="Times New Roman;Times;Serif" w:hAnsi="Times New Roman;Times;Serif"/>
          <w:sz w:val="20"/>
        </w:rPr>
        <w:t>” means, with respect to the particular conversion of Preferred Stock at issue, the “Stated Value of shares of Preferred Stock to be Converted” as reflected on the Notice of Conversion for such conversion.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Date</w:t>
      </w:r>
      <w:r>
        <w:rPr>
          <w:rFonts w:ascii="Times New Roman;Times;Serif" w:hAnsi="Times New Roman;Times;Serif"/>
          <w:sz w:val="20"/>
        </w:rPr>
        <w:t>” shall have the meaning set forth in Section 6(a).</w:t>
      </w:r>
    </w:p>
    <w:p>
      <w:pPr>
        <w:pStyle w:val="TextBody"/>
        <w:bidi w:val="0"/>
        <w:ind w:left="720" w:right="0" w:firstLine="72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B-2 </w:t>
      </w:r>
    </w:p>
    <w:p>
      <w:pPr>
        <w:pStyle w:val="TextBody"/>
        <w:bidi w:val="0"/>
        <w:spacing w:before="0" w:after="0"/>
        <w:ind w:left="0" w:right="0" w:hanging="0"/>
        <w:jc w:val="left"/>
        <w:rPr/>
      </w:pPr>
      <w:r>
        <w:rPr/>
        <w:t> </w:t>
      </w:r>
    </w:p>
    <w:p>
      <w:pPr>
        <w:pStyle w:val="TextBody"/>
        <w:bidi w:val="0"/>
        <w:ind w:left="720" w:right="0" w:firstLine="720"/>
        <w:jc w:val="both"/>
        <w:rPr/>
      </w:pPr>
      <w:r>
        <w:rPr/>
        <w:t>“</w:t>
      </w:r>
      <w:r>
        <w:rPr>
          <w:rFonts w:ascii="Times New Roman;Times;Serif" w:hAnsi="Times New Roman;Times;Serif"/>
          <w:sz w:val="20"/>
          <w:u w:val="single"/>
        </w:rPr>
        <w:t>Conversion Failure</w:t>
      </w:r>
      <w:r>
        <w:rPr>
          <w:rFonts w:ascii="Times New Roman;Times;Serif" w:hAnsi="Times New Roman;Times;Serif"/>
          <w:sz w:val="20"/>
        </w:rPr>
        <w:t>” shall have the meaning set forth in Section 6(c).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Price</w:t>
      </w:r>
      <w:r>
        <w:rPr>
          <w:rFonts w:ascii="Times New Roman;Times;Serif" w:hAnsi="Times New Roman;Times;Serif"/>
          <w:sz w:val="20"/>
        </w:rPr>
        <w:t>” shall have the meaning set forth in Section 6(b).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Shares</w:t>
      </w:r>
      <w:r>
        <w:rPr>
          <w:rFonts w:ascii="Times New Roman;Times;Serif" w:hAnsi="Times New Roman;Times;Serif"/>
          <w:sz w:val="20"/>
        </w:rPr>
        <w:t>” means the shares of Common Stock issuable upon conversion of the shares of Preferred Stock in accordance with the terms hereof.</w:t>
      </w:r>
    </w:p>
    <w:p>
      <w:pPr>
        <w:pStyle w:val="TextBody"/>
        <w:bidi w:val="0"/>
        <w:ind w:left="720" w:right="0" w:firstLine="720"/>
        <w:jc w:val="both"/>
        <w:rPr/>
      </w:pPr>
      <w:r>
        <w:rPr/>
        <w:t> </w:t>
      </w:r>
    </w:p>
    <w:p>
      <w:pPr>
        <w:pStyle w:val="TextBody"/>
        <w:bidi w:val="0"/>
        <w:ind w:left="0" w:right="0" w:firstLine="1440"/>
        <w:jc w:val="both"/>
        <w:rPr/>
      </w:pPr>
      <w:r>
        <w:rPr/>
        <w:t>“</w:t>
      </w:r>
      <w:r>
        <w:rPr>
          <w:rFonts w:ascii="Times New Roman;Times;Serif" w:hAnsi="Times New Roman;Times;Serif"/>
          <w:sz w:val="20"/>
          <w:u w:val="single"/>
        </w:rPr>
        <w:t>Dilutive Issuance</w:t>
      </w:r>
      <w:r>
        <w:rPr>
          <w:rFonts w:ascii="Times New Roman;Times;Serif" w:hAnsi="Times New Roman;Times;Serif"/>
          <w:sz w:val="20"/>
        </w:rPr>
        <w:t>” shall have the meaning set forth in Section 7(b).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Dilutive Issuance Notice</w:t>
      </w:r>
      <w:r>
        <w:rPr>
          <w:rFonts w:ascii="Times New Roman;Times;Serif" w:hAnsi="Times New Roman;Times;Serif"/>
          <w:sz w:val="20"/>
        </w:rPr>
        <w:t>” shall have the meaning set forth in Section 7(b).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Distribution</w:t>
      </w:r>
      <w:r>
        <w:rPr>
          <w:rFonts w:ascii="Times New Roman;Times;Serif" w:hAnsi="Times New Roman;Times;Serif"/>
          <w:sz w:val="20"/>
        </w:rPr>
        <w:t>” shall have the meaning set forth in Section 7(d).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Dividend Conversion Rate</w:t>
      </w:r>
      <w:r>
        <w:rPr>
          <w:rFonts w:ascii="Times New Roman;Times;Serif" w:hAnsi="Times New Roman;Times;Serif"/>
          <w:sz w:val="20"/>
        </w:rPr>
        <w:t>” means the lesser of (a) the Conversion Price or (b) 90% of the arithmetic average of the three (3) lowest VWAPs during the five (5) Trading Days prior to the applicable Dividend Payment Date provided that the Dividend Conversion Rate shall not be less than the Floor Price.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Dividend Conversion Shares</w:t>
      </w:r>
      <w:r>
        <w:rPr>
          <w:rFonts w:ascii="Times New Roman;Times;Serif" w:hAnsi="Times New Roman;Times;Serif"/>
          <w:sz w:val="20"/>
        </w:rPr>
        <w:t>” shall have the meaning set forth in Section 3(a).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Dividend Payment Date</w:t>
      </w:r>
      <w:r>
        <w:rPr>
          <w:rFonts w:ascii="Times New Roman;Times;Serif" w:hAnsi="Times New Roman;Times;Serif"/>
          <w:sz w:val="20"/>
        </w:rPr>
        <w:t>” shall have the meaning set forth in Section 3(a).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Dividend Share Amount</w:t>
      </w:r>
      <w:r>
        <w:rPr>
          <w:rFonts w:ascii="Times New Roman;Times;Serif" w:hAnsi="Times New Roman;Times;Serif"/>
          <w:sz w:val="20"/>
        </w:rPr>
        <w:t>” shall have the meaning set forth in Section 3(a).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Economic Difference</w:t>
      </w:r>
      <w:r>
        <w:rPr>
          <w:rFonts w:ascii="Times New Roman;Times;Serif" w:hAnsi="Times New Roman;Times;Serif"/>
          <w:sz w:val="20"/>
        </w:rPr>
        <w:t>” shall have the meaning set forth in Section 7(b).</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Effective Date</w:t>
      </w:r>
      <w:r>
        <w:rPr>
          <w:rFonts w:ascii="Times New Roman;Times;Serif" w:hAnsi="Times New Roman;Times;Serif"/>
          <w:sz w:val="20"/>
        </w:rPr>
        <w:t>” means the date that the Registration Statement filed by the Corporation pursuant to the Registration Rights Agreement is first declared effective by the Commission.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Equity Conditions</w:t>
      </w:r>
      <w:r>
        <w:rPr>
          <w:rFonts w:ascii="Times New Roman;Times;Serif" w:hAnsi="Times New Roman;Times;Serif"/>
          <w:sz w:val="20"/>
        </w:rPr>
        <w:t>” means, during the period in question, (a) the Corporation shall have duly honored all conversions scheduled to occur or occurring by virtue of one or more Notices of Conversion of the applicable Holder on or prior to the dates so requested or required, if any, (b) the Corporation shall have paid all amounts owing to the applicable Holder in respect of such Holder’s shares of Preferred Stock, (c)(i) there is an effective Registration Statement pursuant to which the Holders are permitted to utilize the prospectus thereunder to resell all of the shares of Common Stock issuable in lieu of cash payments of dividends pursuant to Section 3, or (ii) all of the shares issuable in lieu of cash payments of dividends pursuant to Section 3 may be resold pursuant to Rule 144 without volume or manner-of-sale restrictions or current public information requirements as determined by counsel to the Corporation, (d) the Common Stock is trading on a Trading Market, (e) there is a sufficient number of authorized, but unissued and otherwise unreserved shares of Common Stock issuable in lieu of cash payments of dividends pursuant to Section 3, (f) the issuance of the shares in question to the applicable Holder would not violate the limitations set forth in Section 6(d) and Section 6(e) herein, (g) there has been no public announcement of a pending or proposed Fundamental Transaction that has not been consummated, and (h) the applicable Holder is not in possession of any material non-public information regarding the Corporation.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Excess Shares</w:t>
      </w:r>
      <w:r>
        <w:rPr>
          <w:rFonts w:ascii="Times New Roman;Times;Serif" w:hAnsi="Times New Roman;Times;Serif"/>
          <w:sz w:val="20"/>
        </w:rPr>
        <w:t>” shall have the meaning set forth in Section 6(d).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as amended, and the rules and regulations promulgated thereunder.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B-3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Exempt Issuance</w:t>
      </w:r>
      <w:r>
        <w:rPr>
          <w:rFonts w:ascii="Times New Roman;Times;Serif" w:hAnsi="Times New Roman;Times;Serif"/>
          <w:sz w:val="20"/>
        </w:rPr>
        <w:t>” shall have the meaning ascribed to such term in Section 1.1 of the Purchase Agreement.</w:t>
      </w:r>
    </w:p>
    <w:p>
      <w:pPr>
        <w:pStyle w:val="TextBody"/>
        <w:bidi w:val="0"/>
        <w:spacing w:before="0" w:after="240"/>
        <w:ind w:left="720" w:right="0" w:firstLine="720"/>
        <w:jc w:val="both"/>
        <w:rPr/>
      </w:pPr>
      <w:r>
        <w:rPr/>
        <w:t>“</w:t>
      </w:r>
      <w:r>
        <w:rPr>
          <w:rFonts w:ascii="Times New Roman;Times;Serif" w:hAnsi="Times New Roman;Times;Serif"/>
          <w:sz w:val="20"/>
          <w:u w:val="single"/>
        </w:rPr>
        <w:t>First Closing Date</w:t>
      </w:r>
      <w:r>
        <w:rPr>
          <w:rFonts w:ascii="Times New Roman;Times;Serif" w:hAnsi="Times New Roman;Times;Serif"/>
          <w:sz w:val="20"/>
        </w:rPr>
        <w:t>” shall have the meaning ascribed to such term in Section 1.1 of the Purchase Agreement.</w:t>
      </w:r>
    </w:p>
    <w:p>
      <w:pPr>
        <w:pStyle w:val="TextBody"/>
        <w:bidi w:val="0"/>
        <w:spacing w:before="0" w:after="240"/>
        <w:ind w:left="720" w:right="0" w:firstLine="720"/>
        <w:jc w:val="both"/>
        <w:rPr/>
      </w:pPr>
      <w:r>
        <w:rPr>
          <w:u w:val="single"/>
        </w:rPr>
        <w:t>“</w:t>
      </w:r>
      <w:r>
        <w:rPr>
          <w:rFonts w:ascii="Times New Roman;Times;Serif" w:hAnsi="Times New Roman;Times;Serif"/>
          <w:sz w:val="20"/>
          <w:u w:val="single"/>
        </w:rPr>
        <w:t>Floor Price</w:t>
      </w:r>
      <w:r>
        <w:rPr>
          <w:rFonts w:ascii="Times New Roman;Times;Serif" w:hAnsi="Times New Roman;Times;Serif"/>
          <w:sz w:val="20"/>
        </w:rPr>
        <w:t>” shall have the meaning ascribed to such term in Section 1.1 of the Purchase Agreement.</w:t>
      </w:r>
    </w:p>
    <w:p>
      <w:pPr>
        <w:pStyle w:val="TextBody"/>
        <w:bidi w:val="0"/>
        <w:ind w:left="720" w:right="0" w:firstLine="720"/>
        <w:jc w:val="both"/>
        <w:rPr/>
      </w:pPr>
      <w:r>
        <w:rPr/>
        <w:t>“</w:t>
      </w:r>
      <w:r>
        <w:rPr>
          <w:rFonts w:ascii="Times New Roman;Times;Serif" w:hAnsi="Times New Roman;Times;Serif"/>
          <w:sz w:val="20"/>
          <w:u w:val="single"/>
        </w:rPr>
        <w:t>Fundamental Transaction</w:t>
      </w:r>
      <w:r>
        <w:rPr>
          <w:rFonts w:ascii="Times New Roman;Times;Serif" w:hAnsi="Times New Roman;Times;Serif"/>
          <w:sz w:val="20"/>
        </w:rPr>
        <w:t>” shall have the meaning set forth in Section 7(e).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GAAP</w:t>
      </w:r>
      <w:r>
        <w:rPr>
          <w:rFonts w:ascii="Times New Roman;Times;Serif" w:hAnsi="Times New Roman;Times;Serif"/>
          <w:sz w:val="20"/>
        </w:rPr>
        <w:t>” means United States generally accepted accounting principles.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Holder</w:t>
      </w:r>
      <w:r>
        <w:rPr>
          <w:rFonts w:ascii="Times New Roman;Times;Serif" w:hAnsi="Times New Roman;Times;Serif"/>
          <w:sz w:val="20"/>
        </w:rPr>
        <w:t>” shall have the meaning set forth in Section 2.</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Indebtedness</w:t>
      </w:r>
      <w:r>
        <w:rPr>
          <w:rFonts w:ascii="Times New Roman;Times;Serif" w:hAnsi="Times New Roman;Times;Serif"/>
          <w:sz w:val="20"/>
        </w:rPr>
        <w:t>” means (a) any liabilities for borrowed money or amounts owed in excess of $100,000 (other than trade accounts payable incurred in the ordinary course of business) evidenced by bonds, debentures, notes, loan agreements or similar instruments, (b) all guaranties, endorsements and other contingent obligations in respect of indebtedness of others, whether or not the same are or should be reflected in the Corporation’s consolidated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Issuable Maximum</w:t>
      </w:r>
      <w:r>
        <w:rPr>
          <w:rFonts w:ascii="Times New Roman;Times;Serif" w:hAnsi="Times New Roman;Times;Serif"/>
          <w:sz w:val="20"/>
        </w:rPr>
        <w:t>” shall have the meaning set forth in Section 1.1 of the Purchase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Junior Securities</w:t>
      </w:r>
      <w:r>
        <w:rPr>
          <w:rFonts w:ascii="Times New Roman;Times;Serif" w:hAnsi="Times New Roman;Times;Serif"/>
          <w:sz w:val="20"/>
        </w:rPr>
        <w:t>” means the Common Stock and all other capital stock of the Corporation other than those shares of capital stock of the Corporation which are explicitly senior to or pari passu with the Preferred Stock in dividend rights or liquidation preference.</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Liens</w:t>
      </w:r>
      <w:r>
        <w:rPr>
          <w:rFonts w:ascii="Times New Roman;Times;Serif" w:hAnsi="Times New Roman;Times;Serif"/>
          <w:sz w:val="20"/>
        </w:rPr>
        <w:t>” means a lien, charge, security interest, encumbrance, right of first refusal, preemptive right or other restriction.</w:t>
      </w:r>
    </w:p>
    <w:p>
      <w:pPr>
        <w:pStyle w:val="TextBody"/>
        <w:bidi w:val="0"/>
        <w:ind w:left="720" w:right="0" w:firstLine="720"/>
        <w:jc w:val="both"/>
        <w:rPr/>
      </w:pPr>
      <w:r>
        <w:rPr/>
        <w:t>“</w:t>
      </w:r>
      <w:r>
        <w:rPr>
          <w:rFonts w:ascii="Times New Roman;Times;Serif" w:hAnsi="Times New Roman;Times;Serif"/>
          <w:sz w:val="20"/>
          <w:u w:val="single"/>
        </w:rPr>
        <w:t>Liquidation</w:t>
      </w:r>
      <w:r>
        <w:rPr>
          <w:rFonts w:ascii="Times New Roman;Times;Serif" w:hAnsi="Times New Roman;Times;Serif"/>
          <w:sz w:val="20"/>
        </w:rPr>
        <w:t>” shall have the meaning set forth in Section 5.</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New York Courts</w:t>
      </w:r>
      <w:r>
        <w:rPr>
          <w:rFonts w:ascii="Times New Roman;Times;Serif" w:hAnsi="Times New Roman;Times;Serif"/>
          <w:sz w:val="20"/>
        </w:rPr>
        <w:t>” shall have the meaning set forth in Section 11(d).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Notice of Conversion</w:t>
      </w:r>
      <w:r>
        <w:rPr>
          <w:rFonts w:ascii="Times New Roman;Times;Serif" w:hAnsi="Times New Roman;Times;Serif"/>
          <w:sz w:val="20"/>
        </w:rPr>
        <w:t>” shall have the meaning set forth in Section 6(a).</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Original Issue Date</w:t>
      </w:r>
      <w:r>
        <w:rPr>
          <w:rFonts w:ascii="Times New Roman;Times;Serif" w:hAnsi="Times New Roman;Times;Serif"/>
          <w:sz w:val="20"/>
        </w:rPr>
        <w:t>” means the date of the first issuance of any shares of the Preferred Stock regardless of the number of transfers of any particular shares of Preferred Stock and regardless of the number of certificates which may be issued to evidence such Preferred Stock.</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Permitted Indebtedness</w:t>
      </w:r>
      <w:r>
        <w:rPr>
          <w:rFonts w:ascii="Times New Roman;Times;Serif" w:hAnsi="Times New Roman;Times;Serif"/>
          <w:sz w:val="20"/>
        </w:rPr>
        <w:t xml:space="preserve">” means (a) the Indebtedness existing on the Original Issue Date and set forth on </w:t>
      </w:r>
      <w:r>
        <w:rPr>
          <w:rFonts w:ascii="Times New Roman;Times;Serif" w:hAnsi="Times New Roman;Times;Serif"/>
          <w:sz w:val="20"/>
          <w:u w:val="single"/>
        </w:rPr>
        <w:t>Schedule 3.1(bb)</w:t>
      </w:r>
      <w:r>
        <w:rPr>
          <w:rFonts w:ascii="Times New Roman;Times;Serif" w:hAnsi="Times New Roman;Times;Serif"/>
          <w:sz w:val="20"/>
        </w:rPr>
        <w:t xml:space="preserve"> attached to the Purchase Agreement and any refinancings, refundings, renewals or extensions thereof; provided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(b) Indebtedness in respect of performance bonds, bid bonds, appeal bonds, surety bonds and completion guarantees and similar obligations not in connection with money borrowed, in each case provided in the ordinary course of business, including those incurred to secure health, safety and environmental obligations in the ordinary course of business, (c) Indebtedness (i) resulting from a bank or other financial institution honoring a check, draft or similar instrument in the ordinary course of business or (ii) arising under or in connection with cash management services in the ordinary course of business, (d) Indebtedness consisting of the financing of insurance premiums payable within one (1) year, and (e) lease obligations and purchase money indebtedness incurred in connection with the acquisition of capital assets and lease obligations with respect to newly acquired or leased assets.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B-4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Permitted Lien</w:t>
      </w:r>
      <w:r>
        <w:rPr>
          <w:rFonts w:ascii="Times New Roman;Times;Serif" w:hAnsi="Times New Roman;Times;Serif"/>
          <w:sz w:val="20"/>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Corporation) have been established in accordance with GAAP, (b) Liens imposed by law which were incurred in the ordinary course of the Corporation’s business, such as carriers’, warehousemen’s and mechanics’ Liens, statutory landlords’ Liens, and other similar Liens arising in the ordinary course of the Corporation’s business, and which (i) do not individually or in the aggregate materially detract from the value of such property or assets or materially impair the use thereof in the operation of the business of the Corporation, or (ii) are being contested in good faith by appropriate proceedings, which proceedings have the effect of preventing for the foreseeable future the forfeiture or sale of the property or asset subject to such Lien, (c) pledges or deposits in the ordinary course of business in connection with (i) workers’ compensation, unemployment insurance and other social security legislation, and (ii) public utility services provided to the Corporation, (d) deposits to secure the performance of bids, trade contracts and leases (other than Indebtedness), statutory obligations, surety and appeal bonds, performance bonds and other obligations of a like nature incurred in the ordinary course of business, (e) easements, rights-of-way, restrictions and other similar encumbrances affecting real property that, in the aggregate, are not substantial in amount, and that do not in any case materially detract from the value of the property subject thereto or materially interfere with the ordinary conduct of the business of the Corporation, and any zoning or similar law or right reserved to or vested in any governmental authority to control or regulate the use of any real property that does not materially interfere with the ordinary conduct of the business of the Corporation, (f) any interest or title of a lessor, sublessor, licensor or sublicensor under leases or licenses that are entered into in the ordinary course of business, (g) leases, licenses, subleases or sublicenses granted to others in the ordinary course of business that do not (i) interfere in any material respect with the ordinary conduct of the business of the Corporation, or (ii) secure any Indebtedness, Liens in favor of customs and revenue authorities arising as a matter of law to secure payment of customs duties in connection with the importation of goods in the ordinary course of business, (h) any Lien existing on any property or asset prior to the acquisition thereof by the Corporation or existing on any property or asset of any Person that becomes a subsidiary of the Corporation after the date of the Purchase Agreement prior to the time such Person becomes a subsidiary; provided that (i) such Lien is not created in contemplation of or in connection with such acquisition or such Person becoming a subsidiary, as the case may be, (ii) such Lien shall not apply to any other property or assets of the Corporation or any subsidiary and (iii) such Lien shall secure only those obligations that it secures on the date of such acquisition or the date such Person becomes a subsidiary, as the case may be, and extensions, renewals and replacements thereof that do not increase the outstanding principal amount thereof, (i) Liens incurred in connection with Permitted Indebtedness under clause (a) thereunder, and (j) Liens incurred in connection with Permitted Indebtedness under clause (e) thereunder, provided that such Liens are not secured by assets of the Corporation other than the assets so acquired or leased.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Preferred Stock</w:t>
      </w:r>
      <w:r>
        <w:rPr>
          <w:rFonts w:ascii="Times New Roman;Times;Serif" w:hAnsi="Times New Roman;Times;Serif"/>
          <w:sz w:val="20"/>
        </w:rPr>
        <w:t>” shall have the meaning set forth in Section 2.</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Prepayment Election</w:t>
      </w:r>
      <w:r>
        <w:rPr>
          <w:rFonts w:ascii="Times New Roman;Times;Serif" w:hAnsi="Times New Roman;Times;Serif"/>
          <w:sz w:val="20"/>
        </w:rPr>
        <w:t>” shall have the meaning set forth in Section 6(c).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Purchase Agreement</w:t>
      </w:r>
      <w:r>
        <w:rPr>
          <w:rFonts w:ascii="Times New Roman;Times;Serif" w:hAnsi="Times New Roman;Times;Serif"/>
          <w:sz w:val="20"/>
        </w:rPr>
        <w:t>” means the Securities Purchase Agreement, dated as of August 21, 2026, among the Corporation and the original Holders, as amended, modified or supplemented from time to time in accordance with its terms.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Registration Rights Agreement</w:t>
      </w:r>
      <w:r>
        <w:rPr>
          <w:rFonts w:ascii="Times New Roman;Times;Serif" w:hAnsi="Times New Roman;Times;Serif"/>
          <w:sz w:val="20"/>
        </w:rPr>
        <w:t xml:space="preserve">” means the Registration Rights Agreement, dated on or about the date of the Purchase Agreement, among the Corporation and the original Holders, in the form of </w:t>
      </w:r>
      <w:r>
        <w:rPr>
          <w:rFonts w:ascii="Times New Roman;Times;Serif" w:hAnsi="Times New Roman;Times;Serif"/>
          <w:sz w:val="20"/>
          <w:u w:val="single"/>
        </w:rPr>
        <w:t>Exhibit C</w:t>
      </w:r>
      <w:r>
        <w:rPr>
          <w:rFonts w:ascii="Times New Roman;Times;Serif" w:hAnsi="Times New Roman;Times;Serif"/>
          <w:sz w:val="20"/>
        </w:rPr>
        <w:t xml:space="preserve"> attached to the Purchase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Registration Statement</w:t>
      </w:r>
      <w:r>
        <w:rPr>
          <w:rFonts w:ascii="Times New Roman;Times;Serif" w:hAnsi="Times New Roman;Times;Serif"/>
          <w:sz w:val="20"/>
        </w:rPr>
        <w:t>” means a registration statement meeting the requirements set forth in the Registration Rights Agreement and covering the resale of the Underlying Shares and the Warrant Shares by each Holder as provided for in the Registration Rights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Required Holders</w:t>
      </w:r>
      <w:r>
        <w:rPr>
          <w:rFonts w:ascii="Times New Roman;Times;Serif" w:hAnsi="Times New Roman;Times;Serif"/>
          <w:sz w:val="20"/>
        </w:rPr>
        <w:t>” shall have the meaning ascribed to such term in Section 1.1 of the Purchase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and the rules and regulations promulgated thereunder.</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Share Delivery Date</w:t>
      </w:r>
      <w:r>
        <w:rPr>
          <w:rFonts w:ascii="Times New Roman;Times;Serif" w:hAnsi="Times New Roman;Times;Serif"/>
          <w:sz w:val="20"/>
        </w:rPr>
        <w:t>” shall have the meaning set forth in Section 6(c).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Stated Value</w:t>
      </w:r>
      <w:r>
        <w:rPr>
          <w:rFonts w:ascii="Times New Roman;Times;Serif" w:hAnsi="Times New Roman;Times;Serif"/>
          <w:sz w:val="20"/>
        </w:rPr>
        <w:t>” shall have the meaning set forth in Section 2, as the same may be increased pursuant to Section 7(b).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Shareholder Approval</w:t>
      </w:r>
      <w:r>
        <w:rPr>
          <w:rFonts w:ascii="Times New Roman;Times;Serif" w:hAnsi="Times New Roman;Times;Serif"/>
          <w:sz w:val="20"/>
        </w:rPr>
        <w:t>” shall have the meaning ascribed to such term in Section 1.1 of the Purchase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B-5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Subscription Amount</w:t>
      </w:r>
      <w:r>
        <w:rPr>
          <w:rFonts w:ascii="Times New Roman;Times;Serif" w:hAnsi="Times New Roman;Times;Serif"/>
          <w:sz w:val="20"/>
        </w:rPr>
        <w:t>” shall have the meaning ascribed to such term in Section 1.1 of the Purchase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Successor Entity</w:t>
      </w:r>
      <w:r>
        <w:rPr>
          <w:rFonts w:ascii="Times New Roman;Times;Serif" w:hAnsi="Times New Roman;Times;Serif"/>
          <w:sz w:val="20"/>
        </w:rPr>
        <w:t>” shall have the meaning set forth in Section 7(e).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Day</w:t>
      </w:r>
      <w:r>
        <w:rPr>
          <w:rFonts w:ascii="Times New Roman;Times;Serif" w:hAnsi="Times New Roman;Times;Serif"/>
          <w:sz w:val="20"/>
        </w:rPr>
        <w:t>” means a day on which the principal Trading Market is open for business.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Market</w:t>
      </w:r>
      <w:r>
        <w:rPr>
          <w:rFonts w:ascii="Times New Roman;Times;Serif" w:hAnsi="Times New Roman;Times;Serif"/>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Transaction Documents</w:t>
      </w:r>
      <w:r>
        <w:rPr>
          <w:rFonts w:ascii="Times New Roman;Times;Serif" w:hAnsi="Times New Roman;Times;Serif"/>
          <w:sz w:val="20"/>
        </w:rPr>
        <w:t>” means this Certificate of Designation, the Purchase Agreement, the Registration Rights Agreement, the Warrants, all exhibits and schedules hereto and thereto and any other documents or agreements executed in connection with the transactions contemplated pursuant to the Purchase Agreement.</w:t>
      </w:r>
    </w:p>
    <w:p>
      <w:pPr>
        <w:pStyle w:val="TextBody"/>
        <w:bidi w:val="0"/>
        <w:spacing w:before="0" w:after="240"/>
        <w:ind w:left="720" w:right="0" w:firstLine="720"/>
        <w:jc w:val="both"/>
        <w:rPr/>
      </w:pPr>
      <w:r>
        <w:rPr/>
        <w:t>“</w:t>
      </w:r>
      <w:r>
        <w:rPr>
          <w:rFonts w:ascii="Times New Roman;Times;Serif" w:hAnsi="Times New Roman;Times;Serif"/>
          <w:sz w:val="20"/>
          <w:u w:val="single"/>
        </w:rPr>
        <w:t>Transfer Agent</w:t>
      </w:r>
      <w:r>
        <w:rPr>
          <w:rFonts w:ascii="Times New Roman;Times;Serif" w:hAnsi="Times New Roman;Times;Serif"/>
          <w:sz w:val="20"/>
        </w:rPr>
        <w:t>” shall have the meaning ascribed to such term in Section 1.1 of the Purchase Agreement.</w:t>
      </w:r>
    </w:p>
    <w:p>
      <w:pPr>
        <w:pStyle w:val="TextBody"/>
        <w:bidi w:val="0"/>
        <w:spacing w:before="0" w:after="240"/>
        <w:ind w:left="720" w:right="0" w:firstLine="720"/>
        <w:jc w:val="both"/>
        <w:rPr/>
      </w:pPr>
      <w:r>
        <w:rPr/>
        <w:t>“</w:t>
      </w:r>
      <w:r>
        <w:rPr>
          <w:rFonts w:ascii="Times New Roman;Times;Serif" w:hAnsi="Times New Roman;Times;Serif"/>
          <w:sz w:val="20"/>
          <w:u w:val="single"/>
        </w:rPr>
        <w:t>Underlying Shares</w:t>
      </w:r>
      <w:r>
        <w:rPr>
          <w:rFonts w:ascii="Times New Roman;Times;Serif" w:hAnsi="Times New Roman;Times;Serif"/>
          <w:sz w:val="20"/>
        </w:rPr>
        <w:t>” means the shares of Common Stock issued and issuable upon conversion of the Preferred Stock, and issued and issuable in payment of dividends on the Preferred Stock in accordance with the terms of this Certificate of Designation.</w:t>
      </w:r>
    </w:p>
    <w:p>
      <w:pPr>
        <w:pStyle w:val="TextBody"/>
        <w:bidi w:val="0"/>
        <w:spacing w:before="0" w:after="240"/>
        <w:ind w:left="720" w:right="0" w:firstLine="720"/>
        <w:jc w:val="both"/>
        <w:rPr/>
      </w:pPr>
      <w:r>
        <w:rPr/>
        <w:t>“</w:t>
      </w:r>
      <w:r>
        <w:rPr>
          <w:rFonts w:ascii="Times New Roman;Times;Serif" w:hAnsi="Times New Roman;Times;Serif"/>
          <w:sz w:val="20"/>
          <w:u w:val="single"/>
        </w:rPr>
        <w:t>Variable Rate Transaction</w:t>
      </w:r>
      <w:r>
        <w:rPr>
          <w:rFonts w:ascii="Times New Roman;Times;Serif" w:hAnsi="Times New Roman;Times;Serif"/>
          <w:sz w:val="20"/>
        </w:rPr>
        <w:t>” shall have the meaning ascribed to such term in Section 4.13(b) of the Purchase Agreement.</w:t>
      </w:r>
    </w:p>
    <w:p>
      <w:pPr>
        <w:pStyle w:val="TextBody"/>
        <w:bidi w:val="0"/>
        <w:ind w:left="720" w:right="0" w:firstLine="720"/>
        <w:jc w:val="both"/>
        <w:rPr/>
      </w:pPr>
      <w:r>
        <w:rPr/>
        <w:t>“</w:t>
      </w:r>
      <w:r>
        <w:rPr>
          <w:rFonts w:ascii="Times New Roman;Times;Serif" w:hAnsi="Times New Roman;Times;Serif"/>
          <w:sz w:val="20"/>
          <w:u w:val="single"/>
        </w:rPr>
        <w:t>VWAP</w:t>
      </w:r>
      <w:r>
        <w:rPr>
          <w:rFonts w:ascii="Times New Roman;Times;Serif" w:hAnsi="Times New Roman;Times;Serif"/>
          <w:sz w:val="20"/>
        </w:rPr>
        <w:t>” shall have the meaning ascribed to such term in Section 1.1 of the Purchase Agreement.</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Warrants</w:t>
      </w:r>
      <w:r>
        <w:rPr>
          <w:rFonts w:ascii="Times New Roman;Times;Serif" w:hAnsi="Times New Roman;Times;Serif"/>
          <w:sz w:val="20"/>
        </w:rPr>
        <w:t xml:space="preserve">” means, collectively, the Common Stock Purchase Warrants to purchase shares of Common Stock delivered to the Holders on the First Closing Date in accordance with Section 2.2(a) of the Purchase Agreement, in the form of </w:t>
      </w:r>
      <w:r>
        <w:rPr>
          <w:rFonts w:ascii="Times New Roman;Times;Serif" w:hAnsi="Times New Roman;Times;Serif"/>
          <w:sz w:val="20"/>
          <w:u w:val="single"/>
        </w:rPr>
        <w:t>Exhibit D</w:t>
      </w:r>
      <w:r>
        <w:rPr>
          <w:rFonts w:ascii="Times New Roman;Times;Serif" w:hAnsi="Times New Roman;Times;Serif"/>
          <w:sz w:val="20"/>
        </w:rPr>
        <w:t xml:space="preserve"> attached to the Purchase Agreement.</w:t>
      </w:r>
    </w:p>
    <w:p>
      <w:pPr>
        <w:pStyle w:val="TextBody"/>
        <w:bidi w:val="0"/>
        <w:spacing w:before="0" w:after="240"/>
        <w:ind w:left="720" w:right="0" w:firstLine="720"/>
        <w:jc w:val="both"/>
        <w:rPr/>
      </w:pPr>
      <w:r>
        <w:rPr/>
        <w:t>“</w:t>
      </w:r>
      <w:r>
        <w:rPr>
          <w:rFonts w:ascii="Times New Roman;Times;Serif" w:hAnsi="Times New Roman;Times;Serif"/>
          <w:sz w:val="20"/>
          <w:u w:val="single"/>
        </w:rPr>
        <w:t>Warrant Shares</w:t>
      </w:r>
      <w:r>
        <w:rPr>
          <w:rFonts w:ascii="Times New Roman;Times;Serif" w:hAnsi="Times New Roman;Times;Serif"/>
          <w:sz w:val="20"/>
        </w:rPr>
        <w:t>” means the shares of Common Stock issuable upon exercise of the Warrants.</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u w:val="single"/>
        </w:rPr>
        <w:t>Section 2</w:t>
      </w:r>
      <w:r>
        <w:rPr>
          <w:rFonts w:ascii="Times New Roman;Times;Serif" w:hAnsi="Times New Roman;Times;Serif"/>
          <w:sz w:val="20"/>
        </w:rPr>
        <w:t xml:space="preserve">. </w:t>
        <w:tab/>
      </w:r>
      <w:r>
        <w:rPr>
          <w:rFonts w:ascii="Times New Roman;Times;Serif" w:hAnsi="Times New Roman;Times;Serif"/>
          <w:sz w:val="20"/>
          <w:u w:val="single"/>
        </w:rPr>
        <w:t>Designation, Amount and Par Value</w:t>
      </w:r>
      <w:r>
        <w:rPr>
          <w:rFonts w:ascii="Times New Roman;Times;Serif" w:hAnsi="Times New Roman;Times;Serif"/>
          <w:sz w:val="20"/>
        </w:rPr>
        <w:t>. The series of preferred stock shall be designated as its Series A-1 8% Convertible Preferred Stock (the “</w:t>
      </w:r>
      <w:r>
        <w:rPr>
          <w:rFonts w:ascii="Times New Roman;Times;Serif" w:hAnsi="Times New Roman;Times;Serif"/>
          <w:sz w:val="20"/>
          <w:u w:val="single"/>
        </w:rPr>
        <w:t>Preferred Stock</w:t>
      </w:r>
      <w:r>
        <w:rPr>
          <w:rFonts w:ascii="Times New Roman;Times;Serif" w:hAnsi="Times New Roman;Times;Serif"/>
          <w:sz w:val="20"/>
        </w:rPr>
        <w:t>”) and the number of shares so designated shall be up to 9,000 (which shall not be subject to increase without the written consent of the holders of a majority of the then outstanding shares of the Preferred Stock (each, a “</w:t>
      </w:r>
      <w:r>
        <w:rPr>
          <w:rFonts w:ascii="Times New Roman;Times;Serif" w:hAnsi="Times New Roman;Times;Serif"/>
          <w:sz w:val="20"/>
          <w:u w:val="single"/>
        </w:rPr>
        <w:t>Holder</w:t>
      </w:r>
      <w:r>
        <w:rPr>
          <w:rFonts w:ascii="Times New Roman;Times;Serif" w:hAnsi="Times New Roman;Times;Serif"/>
          <w:sz w:val="20"/>
        </w:rPr>
        <w:t>” and collectively, the “</w:t>
      </w:r>
      <w:r>
        <w:rPr>
          <w:rFonts w:ascii="Times New Roman;Times;Serif" w:hAnsi="Times New Roman;Times;Serif"/>
          <w:sz w:val="20"/>
          <w:u w:val="single"/>
        </w:rPr>
        <w:t>Holders</w:t>
      </w:r>
      <w:r>
        <w:rPr>
          <w:rFonts w:ascii="Times New Roman;Times;Serif" w:hAnsi="Times New Roman;Times;Serif"/>
          <w:sz w:val="20"/>
        </w:rPr>
        <w:t>”)). Each share of Preferred Stock shall have a par value of $0.001 per share and a stated value equal to $1,000, subject to increase as set forth in Section 7(b) below (the “</w:t>
      </w:r>
      <w:r>
        <w:rPr>
          <w:rFonts w:ascii="Times New Roman;Times;Serif" w:hAnsi="Times New Roman;Times;Serif"/>
          <w:sz w:val="20"/>
          <w:u w:val="single"/>
        </w:rPr>
        <w:t>Stated Value</w:t>
      </w:r>
      <w:r>
        <w:rPr>
          <w:rFonts w:ascii="Times New Roman;Times;Serif" w:hAnsi="Times New Roman;Times;Serif"/>
          <w:sz w:val="20"/>
        </w:rPr>
        <w:t>”).</w:t>
      </w:r>
    </w:p>
    <w:p>
      <w:pPr>
        <w:pStyle w:val="TextBody"/>
        <w:bidi w:val="0"/>
        <w:ind w:left="72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u w:val="single"/>
        </w:rPr>
        <w:t>Section 3</w:t>
      </w:r>
      <w:r>
        <w:rPr>
          <w:rFonts w:ascii="Times New Roman;Times;Serif" w:hAnsi="Times New Roman;Times;Serif"/>
          <w:sz w:val="20"/>
        </w:rPr>
        <w:t xml:space="preserve">. </w:t>
        <w:tab/>
      </w:r>
      <w:r>
        <w:rPr>
          <w:rFonts w:ascii="Times New Roman;Times;Serif" w:hAnsi="Times New Roman;Times;Serif"/>
          <w:sz w:val="20"/>
          <w:u w:val="single"/>
        </w:rPr>
        <w:t>Dividends</w:t>
      </w:r>
      <w:r>
        <w:rPr>
          <w:rFonts w:ascii="Times New Roman;Times;Serif" w:hAnsi="Times New Roman;Times;Serif"/>
          <w:sz w:val="20"/>
        </w:rPr>
        <w: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Dividends in Cash or in Kind</w:t>
      </w:r>
      <w:r>
        <w:rPr>
          <w:rFonts w:ascii="Times New Roman;Times;Serif" w:hAnsi="Times New Roman;Times;Serif"/>
          <w:sz w:val="20"/>
        </w:rPr>
        <w:t>. From and after the one year anniversary of the Original Issue Date, Holders shall be entitled to receive, and the Corporation shall pay, cumulative dividends at the rate per share (as a percentage of the Stated Value per share) of 8% per annum, payable quarterly on January 1, April 1, July 1 and October 1 (any such payment date, the “</w:t>
      </w:r>
      <w:r>
        <w:rPr>
          <w:rFonts w:ascii="Times New Roman;Times;Serif" w:hAnsi="Times New Roman;Times;Serif"/>
          <w:sz w:val="20"/>
          <w:u w:val="single"/>
        </w:rPr>
        <w:t>Dividend Payment Date</w:t>
      </w:r>
      <w:r>
        <w:rPr>
          <w:rFonts w:ascii="Times New Roman;Times;Serif" w:hAnsi="Times New Roman;Times;Serif"/>
          <w:sz w:val="20"/>
        </w:rPr>
        <w:t>”) in cash, or at the Corporation’s option provided that the Equity Conditions are then met, in duly authorized, validly issued, fully paid and non-assessable registered shares of Common Stock as set forth in this Section 3(a) or a combination thereof (the dollar amount to be paid in shares of Common Stock, the “</w:t>
      </w:r>
      <w:r>
        <w:rPr>
          <w:rFonts w:ascii="Times New Roman;Times;Serif" w:hAnsi="Times New Roman;Times;Serif"/>
          <w:sz w:val="20"/>
          <w:u w:val="single"/>
        </w:rPr>
        <w:t>Dividend Share Amount</w:t>
      </w:r>
      <w:r>
        <w:rPr>
          <w:rFonts w:ascii="Times New Roman;Times;Serif" w:hAnsi="Times New Roman;Times;Serif"/>
          <w:sz w:val="20"/>
        </w:rPr>
        <w:t>”). If any Dividend Payment Date is not a Trading Day, the applicable payment shall be due on the next succeeding Trading Day. In addition, as a condition to paying dividends in shares of Common Stock, as to such Dividend Payment Date, but not more than five (5) Trading Days prior to such Dividend Payment Date, the Corporation shall have delivered to each Holder’s account with The Depository Trust Company a number of shares of Common Stock to be applied against such Dividend Share Amount equal to the quotient of (x) the applicable Dividend Share Amount divided by (y) the Dividend Conversion Rate in effect as of the Dividend Payment Date or, if the Dividend Payment Date is not a Trading Day, the most recent Trading Day preceding such Dividend Payment Date (the “</w:t>
      </w:r>
      <w:r>
        <w:rPr>
          <w:rFonts w:ascii="Times New Roman;Times;Serif" w:hAnsi="Times New Roman;Times;Serif"/>
          <w:sz w:val="20"/>
          <w:u w:val="single"/>
        </w:rPr>
        <w:t>Dividend Conversion Shares</w:t>
      </w:r>
      <w:r>
        <w:rPr>
          <w:rFonts w:ascii="Times New Roman;Times;Serif" w:hAnsi="Times New Roman;Times;Serif"/>
          <w:sz w:val="20"/>
        </w:rPr>
        <w:t>”). The Holders shall have the same rights and remedies with respect to the delivery of any such shares as if such shares were being issued pursuant to Section 6.</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B-6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Dividend Calculations</w:t>
      </w:r>
      <w:r>
        <w:rPr>
          <w:rFonts w:ascii="Times New Roman;Times;Serif" w:hAnsi="Times New Roman;Times;Serif"/>
          <w:sz w:val="20"/>
        </w:rPr>
        <w:t xml:space="preserve">. Dividends on the Preferred Stock shall be calculated on the basis of a 360-day year, consisting of twelve 30 calendar day periods, and shall accrue daily commencing on the one year anniversary of the Original Issue Date, and shall be deemed to accrue from such date whether or not earned or declared and whether or not there are profits, surplus or other funds of the Corporation legally available for the payment of dividends. Payment of dividends in shares of Common Stock shall otherwise occur pursuant to Section 6(c)(i) herein and, solely for purposes of the payment of dividends in shares, the Dividend Payment Date shall be deemed the Conversion Date. Dividends shall cease to accrue with respect to any Preferred Stock converted upon the delivery of the Conversion Shares in accordance with Section 6(c)(i) herein. Except as otherwise provided herein, if at any time the Corporation pays dividends partially in cash and partially in shares, then such payment shall be distributed ratably among the Holders based upon the number of shares of Preferred Stock held by each Holder on such Dividend Payment Date.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Late Fees</w:t>
      </w:r>
      <w:r>
        <w:rPr>
          <w:rFonts w:ascii="Times New Roman;Times;Serif" w:hAnsi="Times New Roman;Times;Serif"/>
          <w:sz w:val="20"/>
        </w:rPr>
        <w:t xml:space="preserve">. Any dividends, whether paid in cash or shares of Common Stock (or a combination thereof), that are not paid within three Trading Days following a Dividend Payment Date shall continue to accrue and shall entail a late fee, which must be paid in cash, at the rate of 15% per annum or the lesser rate permitted by applicable law which shall accrue daily from the Dividend Payment Date through and including the date of actual payment in full.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Other Securities</w:t>
      </w:r>
      <w:r>
        <w:rPr>
          <w:rFonts w:ascii="Times New Roman;Times;Serif" w:hAnsi="Times New Roman;Times;Serif"/>
          <w:sz w:val="20"/>
        </w:rPr>
        <w:t xml:space="preserve">. So long as any Preferred Stock shall remain outstanding, the Corporation shall not, directly or indirectly, redeem, purchase or otherwise acquire directly or indirectly any Junior Securities. So long as any Preferred Stock shall remain outstanding, the Corporation shall not, directly or indirectly, pay or declare any dividend or make any distribution upon (other than a dividend or distribution described in Section 6 or dividends due and paid in the ordinary course on preferred stock of the Corporation at such times when the Corporation is in compliance with its payment and other obligations hereunder), nor shall any distribution be made in respect of, any Junior Securities as long as any dividends due on the Preferred Stock remain unpaid, nor shall any monies be set aside for or applied to the purchase or redemption (through a sinking fund or otherwise) of any Junior Securities or shares </w:t>
      </w:r>
      <w:r>
        <w:rPr>
          <w:rFonts w:ascii="Times New Roman;Times;Serif" w:hAnsi="Times New Roman;Times;Serif"/>
          <w:sz w:val="20"/>
          <w:u w:val="single"/>
        </w:rPr>
        <w:t>pari passu</w:t>
      </w:r>
      <w:r>
        <w:rPr>
          <w:rFonts w:ascii="Times New Roman;Times;Serif" w:hAnsi="Times New Roman;Times;Serif"/>
          <w:sz w:val="20"/>
        </w:rPr>
        <w:t xml:space="preserve"> with the Preferred Stock.</w:t>
      </w:r>
    </w:p>
    <w:p>
      <w:pPr>
        <w:pStyle w:val="TextBody"/>
        <w:bidi w:val="0"/>
        <w:jc w:val="both"/>
        <w:rPr/>
      </w:pPr>
      <w:r>
        <w:rPr/>
        <w:t> </w:t>
      </w:r>
    </w:p>
    <w:p>
      <w:pPr>
        <w:pStyle w:val="TextBody"/>
        <w:bidi w:val="0"/>
        <w:ind w:left="0" w:right="0" w:firstLine="1440"/>
        <w:jc w:val="both"/>
        <w:rPr>
          <w:rFonts w:ascii="Times New Roman;Times;Serif" w:hAnsi="Times New Roman;Times;Serif"/>
          <w:sz w:val="20"/>
        </w:rPr>
      </w:pPr>
      <w:r>
        <w:rPr>
          <w:rFonts w:ascii="Times New Roman;Times;Serif" w:hAnsi="Times New Roman;Times;Serif"/>
          <w:sz w:val="20"/>
          <w:u w:val="single"/>
        </w:rPr>
        <w:t>Section 4</w:t>
      </w:r>
      <w:r>
        <w:rPr>
          <w:rFonts w:ascii="Times New Roman;Times;Serif" w:hAnsi="Times New Roman;Times;Serif"/>
          <w:sz w:val="20"/>
        </w:rPr>
        <w:t xml:space="preserve">. </w:t>
        <w:tab/>
      </w:r>
      <w:r>
        <w:rPr>
          <w:rFonts w:ascii="Times New Roman;Times;Serif" w:hAnsi="Times New Roman;Times;Serif"/>
          <w:sz w:val="20"/>
          <w:u w:val="single"/>
        </w:rPr>
        <w:t>Voting Rights</w:t>
      </w:r>
      <w:r>
        <w:rPr>
          <w:rFonts w:ascii="Times New Roman;Times;Serif" w:hAnsi="Times New Roman;Times;Serif"/>
          <w:sz w:val="20"/>
        </w:rPr>
        <w:t>. Except as otherwise provided herein or as otherwise required by law, the Preferred Stock shall have no voting rights.</w:t>
      </w:r>
    </w:p>
    <w:p>
      <w:pPr>
        <w:pStyle w:val="TextBody"/>
        <w:bidi w:val="0"/>
        <w:ind w:left="0" w:right="0" w:firstLine="1440"/>
        <w:jc w:val="both"/>
        <w:rPr/>
      </w:pPr>
      <w:r>
        <w:rPr/>
        <w:t> </w:t>
      </w:r>
    </w:p>
    <w:p>
      <w:pPr>
        <w:pStyle w:val="TextBody"/>
        <w:bidi w:val="0"/>
        <w:ind w:left="0" w:right="0" w:firstLine="1440"/>
        <w:jc w:val="both"/>
        <w:rPr>
          <w:rFonts w:ascii="Times New Roman;Times;Serif" w:hAnsi="Times New Roman;Times;Serif"/>
          <w:sz w:val="20"/>
        </w:rPr>
      </w:pPr>
      <w:r>
        <w:rPr>
          <w:rFonts w:ascii="Times New Roman;Times;Serif" w:hAnsi="Times New Roman;Times;Serif"/>
          <w:sz w:val="20"/>
          <w:u w:val="single"/>
        </w:rPr>
        <w:t>Section 5</w:t>
      </w:r>
      <w:r>
        <w:rPr>
          <w:rFonts w:ascii="Times New Roman;Times;Serif" w:hAnsi="Times New Roman;Times;Serif"/>
          <w:sz w:val="20"/>
        </w:rPr>
        <w:t xml:space="preserve">. </w:t>
        <w:tab/>
      </w:r>
      <w:r>
        <w:rPr>
          <w:rFonts w:ascii="Times New Roman;Times;Serif" w:hAnsi="Times New Roman;Times;Serif"/>
          <w:sz w:val="20"/>
          <w:u w:val="single"/>
        </w:rPr>
        <w:t>Liquidation</w:t>
      </w:r>
      <w:r>
        <w:rPr>
          <w:rFonts w:ascii="Times New Roman;Times;Serif" w:hAnsi="Times New Roman;Times;Serif"/>
          <w:sz w:val="20"/>
        </w:rPr>
        <w:t>. Upon any liquidation, dissolution or winding-up of the Corporation, whether voluntary or involuntary (a “</w:t>
      </w:r>
      <w:r>
        <w:rPr>
          <w:rFonts w:ascii="Times New Roman;Times;Serif" w:hAnsi="Times New Roman;Times;Serif"/>
          <w:sz w:val="20"/>
          <w:u w:val="single"/>
        </w:rPr>
        <w:t>Liquidation</w:t>
      </w:r>
      <w:r>
        <w:rPr>
          <w:rFonts w:ascii="Times New Roman;Times;Serif" w:hAnsi="Times New Roman;Times;Serif"/>
          <w:sz w:val="20"/>
        </w:rPr>
        <w:t>”), the Holders shall be entitled to receive out of the assets, whether capital or surplus, of the Corporation an amount equal to the Stated Value, plus any accrued and unpaid dividends thereon and any other fees or liquidated damages then due and owing thereon under this Certificate of Designation, for each share of Preferred Stock before any distribution or payment shall be made to the holders of any Junior Securities, and if the assets of the Corporation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 Upon payment of the full preferential amounts set forth above in respect of a share of Preferred Stock, such share of Preferred Stock shall be immediately surrendered and cancelled without any further action on the part of the Corporation or the Holder thereof. A Fundamental Transaction shall not be deemed a Liquidation. The Corporation shall mail written notice of any such Liquidation, not less than 45 days prior to the payment date stated therein, to each Holder.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B-7 </w:t>
      </w:r>
    </w:p>
    <w:p>
      <w:pPr>
        <w:pStyle w:val="TextBody"/>
        <w:bidi w:val="0"/>
        <w:spacing w:before="0" w:after="0"/>
        <w:ind w:left="0" w:right="0" w:hanging="0"/>
        <w:jc w:val="left"/>
        <w:rPr/>
      </w:pPr>
      <w:r>
        <w:rPr/>
        <w:t> </w:t>
      </w:r>
    </w:p>
    <w:p>
      <w:pPr>
        <w:pStyle w:val="TextBody"/>
        <w:bidi w:val="0"/>
        <w:jc w:val="both"/>
        <w:rPr/>
      </w:pPr>
      <w:r>
        <w:rPr/>
        <w:t> </w:t>
      </w:r>
    </w:p>
    <w:p>
      <w:pPr>
        <w:pStyle w:val="TextBody"/>
        <w:bidi w:val="0"/>
        <w:ind w:left="0" w:right="0" w:firstLine="1440"/>
        <w:jc w:val="both"/>
        <w:rPr>
          <w:rFonts w:ascii="Times New Roman;Times;Serif" w:hAnsi="Times New Roman;Times;Serif"/>
          <w:sz w:val="20"/>
        </w:rPr>
      </w:pPr>
      <w:r>
        <w:rPr>
          <w:rFonts w:ascii="Times New Roman;Times;Serif" w:hAnsi="Times New Roman;Times;Serif"/>
          <w:sz w:val="20"/>
          <w:u w:val="single"/>
        </w:rPr>
        <w:t>Section 6</w:t>
      </w:r>
      <w:r>
        <w:rPr>
          <w:rFonts w:ascii="Times New Roman;Times;Serif" w:hAnsi="Times New Roman;Times;Serif"/>
          <w:sz w:val="20"/>
        </w:rPr>
        <w:t xml:space="preserve">. </w:t>
        <w:tab/>
      </w:r>
      <w:r>
        <w:rPr>
          <w:rFonts w:ascii="Times New Roman;Times;Serif" w:hAnsi="Times New Roman;Times;Serif"/>
          <w:sz w:val="20"/>
          <w:u w:val="single"/>
        </w:rPr>
        <w:t>Conversion</w:t>
      </w:r>
      <w:r>
        <w:rPr>
          <w:rFonts w:ascii="Times New Roman;Times;Serif" w:hAnsi="Times New Roman;Times;Serif"/>
          <w:sz w:val="20"/>
        </w:rPr>
        <w: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Conversions at Option of Holder</w:t>
      </w:r>
      <w:r>
        <w:rPr>
          <w:rFonts w:ascii="Times New Roman;Times;Serif" w:hAnsi="Times New Roman;Times;Serif"/>
          <w:sz w:val="20"/>
        </w:rPr>
        <w:t xml:space="preserve">. Each share of Preferred Stock shall be convertible, at any time and from time to time from and after the Original Issue Date at the option of the Holder thereof, into that number of shares of Common Stock (subject to the limitations set forth in Section 6(d) and Section 6(e)) determined by dividing the Stated Value of such share of Preferred Stock by the Conversion Price. Holders shall effect conversions by providing the Corporation with the form of conversion notice attached hereto as </w:t>
      </w:r>
      <w:r>
        <w:rPr>
          <w:rFonts w:ascii="Times New Roman;Times;Serif" w:hAnsi="Times New Roman;Times;Serif"/>
          <w:sz w:val="20"/>
          <w:u w:val="single"/>
        </w:rPr>
        <w:t>Annex A</w:t>
      </w:r>
      <w:r>
        <w:rPr>
          <w:rFonts w:ascii="Times New Roman;Times;Serif" w:hAnsi="Times New Roman;Times;Serif"/>
          <w:sz w:val="20"/>
        </w:rPr>
        <w:t xml:space="preserve"> (a “</w:t>
      </w:r>
      <w:r>
        <w:rPr>
          <w:rFonts w:ascii="Times New Roman;Times;Serif" w:hAnsi="Times New Roman;Times;Serif"/>
          <w:sz w:val="20"/>
          <w:u w:val="single"/>
        </w:rPr>
        <w:t>Notice of Conversion</w:t>
      </w:r>
      <w:r>
        <w:rPr>
          <w:rFonts w:ascii="Times New Roman;Times;Serif" w:hAnsi="Times New Roman;Times;Serif"/>
          <w:sz w:val="20"/>
        </w:rPr>
        <w:t>”).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.pdf via email such Notice of Conversion to the Corporation (such date, the “</w:t>
      </w:r>
      <w:r>
        <w:rPr>
          <w:rFonts w:ascii="Times New Roman;Times;Serif" w:hAnsi="Times New Roman;Times;Serif"/>
          <w:sz w:val="20"/>
          <w:u w:val="single"/>
        </w:rPr>
        <w:t>Conversion Date</w:t>
      </w:r>
      <w:r>
        <w:rPr>
          <w:rFonts w:ascii="Times New Roman;Times;Serif" w:hAnsi="Times New Roman;Times;Serif"/>
          <w:sz w:val="20"/>
        </w:rPr>
        <w:t>”). If no Conversion Date is specified in a Notice of Conversion, the Conversion Date shall be the date that such Notice of Conversion to the 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shares of Preferred Stock, a Holder shall not be required to surrender the certificate(s) representing the shares of Preferred Stock to the Corporation unless all of the shares of Preferred Stock represented thereby are so converted, in which case such Holder shall deliver the certificate representing such shares of Preferred Stock promptly following the Conversion Date at issue. Shares of Preferred Stock converted into Common Stock or redeemed in accordance with the terms hereof shall be cancelled and shall not be reissued.</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Conversion Price</w:t>
      </w:r>
      <w:r>
        <w:rPr>
          <w:rFonts w:ascii="Times New Roman;Times;Serif" w:hAnsi="Times New Roman;Times;Serif"/>
          <w:sz w:val="20"/>
        </w:rPr>
        <w:t>. The conversion price for the Preferred Stock shall equal $4.25, subject to adjustment herein (the “</w:t>
      </w:r>
      <w:r>
        <w:rPr>
          <w:rFonts w:ascii="Times New Roman;Times;Serif" w:hAnsi="Times New Roman;Times;Serif"/>
          <w:sz w:val="20"/>
          <w:u w:val="single"/>
        </w:rPr>
        <w:t>Conversion Price</w:t>
      </w:r>
      <w:r>
        <w:rPr>
          <w:rFonts w:ascii="Times New Roman;Times;Serif" w:hAnsi="Times New Roman;Times;Serif"/>
          <w:sz w:val="20"/>
        </w:rPr>
        <w: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Mechanics of Conversion</w:t>
      </w:r>
      <w:r>
        <w:rPr>
          <w:rFonts w:ascii="Times New Roman;Times;Serif" w:hAnsi="Times New Roman;Times;Serif"/>
          <w:sz w:val="20"/>
        </w:rPr>
        <w:t>.</w:t>
      </w:r>
    </w:p>
    <w:p>
      <w:pPr>
        <w:pStyle w:val="TextBody"/>
        <w:bidi w:val="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Delivery of Conversion Shares Upon Conversion</w:t>
      </w:r>
      <w:r>
        <w:rPr>
          <w:rFonts w:ascii="Times New Roman;Times;Serif" w:hAnsi="Times New Roman;Times;Serif"/>
          <w:sz w:val="20"/>
        </w:rPr>
        <w:t>. Not later than the Standard Settlement Period (as defined below) after each Conversion Date (the “</w:t>
      </w:r>
      <w:r>
        <w:rPr>
          <w:rFonts w:ascii="Times New Roman;Times;Serif" w:hAnsi="Times New Roman;Times;Serif"/>
          <w:sz w:val="20"/>
          <w:u w:val="single"/>
        </w:rPr>
        <w:t>Share Delivery Date</w:t>
      </w:r>
      <w:r>
        <w:rPr>
          <w:rFonts w:ascii="Times New Roman;Times;Serif" w:hAnsi="Times New Roman;Times;Serif"/>
          <w:sz w:val="20"/>
        </w:rPr>
        <w:t>”), the Corporation shall deliver, or cause to be delivered, to the converting Holder (A) the number of Conversion Shares being acquired upon the conversion of the Preferred Stock which, on or after the earlier of (i) the six month anniversary of the Original Issue Date, or (ii) the Effective Date, shall be free of restrictive legends and trading restrictions (other than those which may then be required by the Purchase Agreement, or as a result of the Holder being deemed an Affiliate of the Corporation), and (B) a bank check or wire transfer in the amount of accrued and unpaid dividends (if the Corporation has elected or is required to pay accrued dividends in cash). The Corporation shall deliver the Conversion Shares required to be delivered by the Corporation under this Section 6 electronically through the Depository Trust Company’s Fast Automated Securities Transfer Program (“</w:t>
      </w:r>
      <w:r>
        <w:rPr>
          <w:rFonts w:ascii="Times New Roman;Times;Serif" w:hAnsi="Times New Roman;Times;Serif"/>
          <w:sz w:val="20"/>
          <w:u w:val="single"/>
        </w:rPr>
        <w:t>FAST</w:t>
      </w:r>
      <w:r>
        <w:rPr>
          <w:rFonts w:ascii="Times New Roman;Times;Serif" w:hAnsi="Times New Roman;Times;Serif"/>
          <w:sz w:val="20"/>
        </w:rPr>
        <w:t>”) or another established clearing corporation performing similar functions. As used herein, “</w:t>
      </w:r>
      <w:r>
        <w:rPr>
          <w:rFonts w:ascii="Times New Roman;Times;Serif" w:hAnsi="Times New Roman;Times;Serif"/>
          <w:sz w:val="20"/>
          <w:u w:val="single"/>
        </w:rPr>
        <w:t>Standard Settlement Period</w:t>
      </w:r>
      <w:r>
        <w:rPr>
          <w:rFonts w:ascii="Times New Roman;Times;Serif" w:hAnsi="Times New Roman;Times;Serif"/>
          <w:sz w:val="20"/>
        </w:rPr>
        <w:t>” means the standard settlement period, expressed in a number of Trading Days, on the Corporation’s primary Trading Market with respect to the Common Stock as in effect on the date of delivery of the Notice of Conversion.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B-8 </w:t>
      </w:r>
    </w:p>
    <w:p>
      <w:pPr>
        <w:pStyle w:val="TextBody"/>
        <w:bidi w:val="0"/>
        <w:spacing w:before="0" w:after="0"/>
        <w:ind w:left="0" w:right="0" w:hanging="0"/>
        <w:jc w:val="left"/>
        <w:rPr/>
      </w:pPr>
      <w:r>
        <w:rPr/>
        <w:t> </w:t>
      </w:r>
    </w:p>
    <w:p>
      <w:pPr>
        <w:pStyle w:val="TextBody"/>
        <w:bidi w:val="0"/>
        <w:ind w:left="144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Failure to Deliver Conversion Shares</w:t>
      </w:r>
      <w:r>
        <w:rPr>
          <w:rFonts w:ascii="Times New Roman;Times;Serif" w:hAnsi="Times New Roman;Times;Serif"/>
          <w:sz w:val="20"/>
        </w:rPr>
        <w:t>. If, in the case of any Notice of Conversion, such Conversion Shares are not delivered to or as directed by the applicable Holder by the Share Delivery Date, if the Transfer Agent is not participating in FAST, to issue and deliver to the Holder (or its designee) a certificate for the number of Conversion Shares to which the Holder is entitled and register such Conversion Shares on the Corporation’s register of members or, if the Transfer Agent is participating in FAST, to credit the balance account of the Holder or the Holder’s designee with DTC for such number of Conversion Shares to which the Holder is entitled upon the Holder’s conversion of the Preferred Stock (as the case may be) (a “</w:t>
      </w:r>
      <w:r>
        <w:rPr>
          <w:rFonts w:ascii="Times New Roman;Times;Serif" w:hAnsi="Times New Roman;Times;Serif"/>
          <w:sz w:val="20"/>
          <w:u w:val="single"/>
        </w:rPr>
        <w:t>Conversion Failure</w:t>
      </w:r>
      <w:r>
        <w:rPr>
          <w:rFonts w:ascii="Times New Roman;Times;Serif" w:hAnsi="Times New Roman;Times;Serif"/>
          <w:sz w:val="20"/>
        </w:rPr>
        <w:t>”), then the Holder may by written notice to the Corporation (in lieu of receiving the Conversion Shares subject to such Conversion Failure), require the Corporation to prepay, in cash, up to 20% of the Conversion Amount subject to such Conversion Failure at a prepayment price equal to 110% of the Conversion Amount subject to such Conversion Failure (a “</w:t>
      </w:r>
      <w:r>
        <w:rPr>
          <w:rFonts w:ascii="Times New Roman;Times;Serif" w:hAnsi="Times New Roman;Times;Serif"/>
          <w:sz w:val="20"/>
          <w:u w:val="single"/>
        </w:rPr>
        <w:t>Prepayment Election</w:t>
      </w:r>
      <w:r>
        <w:rPr>
          <w:rFonts w:ascii="Times New Roman;Times;Serif" w:hAnsi="Times New Roman;Times;Serif"/>
          <w:sz w:val="20"/>
        </w:rPr>
        <w:t>”). In the event of a Conversion Failure, the Holder shall be entitled to elect by written notice to the Corporation at any time on or before its receipt of the Conversion Shares subject to such Conversion Failure, to rescind such Conversion, in which event the Corporation shall promptly return to the Holder any original Preferred Stock certificate delivered to the Corporation and the Holder shall promptly return to the Corporation the Conversion Shares issued to such Holder pursuant to the rescinded Notice of Conversion, provided, however, that the Holder shall not be entitled to rescind such Conversion as to any portion of the Conversion Amount for which the Holder has made a Prepayment Election and such payment has been made by the Corporation.</w:t>
      </w:r>
    </w:p>
    <w:p>
      <w:pPr>
        <w:pStyle w:val="TextBody"/>
        <w:bidi w:val="0"/>
        <w:ind w:left="144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iii.                        </w:t>
      </w:r>
      <w:r>
        <w:rPr>
          <w:rFonts w:ascii="Times New Roman;Times;Serif" w:hAnsi="Times New Roman;Times;Serif"/>
          <w:sz w:val="20"/>
          <w:u w:val="single"/>
        </w:rPr>
        <w:t>Obligation Absolute; Partial Liquidated Damages</w:t>
      </w:r>
      <w:r>
        <w:rPr>
          <w:rFonts w:ascii="Times New Roman;Times;Serif" w:hAnsi="Times New Roman;Times;Serif"/>
          <w:sz w:val="20"/>
        </w:rPr>
        <w:t>. 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provided, however, that such delivery shall not operate as a waiver by the Corporation of any such action that the Corporation may have against such Holder. In the event a Holder shall elect to convert any or all of the Stated Value of its Preferred Stock, the Corporation may not refuse conversion based on any claim that such Holder or any one associated or affiliated with such Holder has been engaged in any violation of law, agreement or for any other reason, unless an injunction from a court, on notice to Holder, restraining and/or enjoining conversion of all or part of the Preferred Stock of such Holder shall have been sought and obtained. In the absence of such injunction, the Corporation shall issue Conversion Shares and, if applicable, cash, upon a properly noticed conversion. In the event of a Conversion Failure, the Corporation shall pay to such Holder, in cash, as liquidated damages and not as a penalty, for each $5,000 of Stated Value of Preferred Stock being converted, $50 per Trading Day (increasing to $100 per Trading Day on the third Trading Day after the Share Delivery Date) for each Trading Day after the Share Delivery Date until such Conversion Shares are delivered or Holder rescinds such conversion; provided, however, that (i) such liquidated damages shall not exceed 10% of the applicable Conversion Amount, and (ii) such liquidated damages shall not apply to or be payable in respect of any Conversion Amount for which the Holder has made a Prepayment Election.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B-9 </w:t>
      </w:r>
    </w:p>
    <w:p>
      <w:pPr>
        <w:pStyle w:val="TextBody"/>
        <w:bidi w:val="0"/>
        <w:spacing w:before="0" w:after="0"/>
        <w:ind w:left="0" w:right="0" w:hanging="0"/>
        <w:jc w:val="left"/>
        <w:rPr/>
      </w:pPr>
      <w:r>
        <w:rPr/>
        <w:t> </w:t>
      </w:r>
    </w:p>
    <w:p>
      <w:pPr>
        <w:pStyle w:val="TextBody"/>
        <w:bidi w:val="0"/>
        <w:ind w:left="144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iv.                        </w:t>
      </w:r>
      <w:r>
        <w:rPr>
          <w:rFonts w:ascii="Times New Roman;Times;Serif" w:hAnsi="Times New Roman;Times;Serif"/>
          <w:sz w:val="20"/>
          <w:u w:val="single"/>
        </w:rPr>
        <w:t>Compensation for Buy-In on Failure to Timely Deliver Conversion Shares Upon Conversion</w:t>
      </w:r>
      <w:r>
        <w:rPr>
          <w:rFonts w:ascii="Times New Roman;Times;Serif" w:hAnsi="Times New Roman;Times;Serif"/>
          <w:sz w:val="20"/>
        </w:rPr>
        <w:t>. In addition to any other rights available to the Holder, if the Corporation fails for any reason to deliver to a Holder the applicable Conversion Shares by the Share Delivery Date pursuant to Section 6(c)(i), and the Holder has not rescinded such conversion pursuant to Section 6(c)(ii),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Times;Serif" w:hAnsi="Times New Roman;Times;Serif"/>
          <w:sz w:val="20"/>
          <w:u w:val="single"/>
        </w:rPr>
        <w:t>Buy-In</w:t>
      </w:r>
      <w:r>
        <w:rPr>
          <w:rFonts w:ascii="Times New Roman;Times;Serif" w:hAnsi="Times New Roman;Times;Serif"/>
          <w:sz w:val="20"/>
        </w:rPr>
        <w:t>”),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Preferred Stock equal to the number of shares of Preferred Stock submitted for conversion (in which case, such conversion shall be deemed rescinded) or deliver to such Holder the number of shares of Common Stock that would have been issued if the Corporation had timely complied with its delivery requirements under Section 6(c)(i). For example, if a Holder purchases shares of Common Stock having a total purchase price of $11,000 to cover a Buy-In with respect to an attempted conversion of shares of Preferred Stock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the Conversion Shares upon conversion of the shares of Preferred Stock as required pursuant to the terms hereof.</w:t>
      </w:r>
    </w:p>
    <w:p>
      <w:pPr>
        <w:pStyle w:val="TextBody"/>
        <w:bidi w:val="0"/>
        <w:ind w:left="144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                        </w:t>
      </w:r>
      <w:r>
        <w:rPr>
          <w:rFonts w:ascii="Times New Roman;Times;Serif" w:hAnsi="Times New Roman;Times;Serif"/>
          <w:sz w:val="20"/>
          <w:u w:val="single"/>
        </w:rPr>
        <w:t>Reservation of Shares Issuable Upon Conversion</w:t>
      </w:r>
      <w:r>
        <w:rPr>
          <w:rFonts w:ascii="Times New Roman;Times;Serif" w:hAnsi="Times New Roman;Times;Serif"/>
          <w:sz w:val="20"/>
        </w:rPr>
        <w:t>. The Corporation covenants that it will reserve and keep available out of its duly authorized and unissued shares of Common Stock for the sole purpose of issuance upon conversion of the Preferred Stock and payment of dividends on the Preferred Stock, each as herein provided, free from preemptive rights or any other actual contingent purchase rights of Persons other than the Holder (and the other holders of the Preferred Stock), the maximum number of shares of Common Stock then available for such purpose and, from and after the date on which the Corporation has a sufficient number of authorized and unissued shares of Common Stock available therefor, including following receipt of the Shareholder Approval (as defined in the Purchase Agreement) and the effectiveness of any related amendment to the Corporation’s articles of incorporation, not less than such aggregate number of shares of Common Stock as shall be issuable (taking into account the adjustments and restrictions of Section 7) upon the conversion of the then outstanding shares of Preferred Stock and payment of dividends hereunder. If at any time the Corporation does not have a sufficient number of authorized and unissued shares of Common Stock available to reserve the number of shares of Common Stock required to be reserved pursuant to this Section, the Corporation shall use commercially reasonable efforts to obtain the Shareholder Approval and take such other corporate action as may be necessary to increase its authorized shares of Common Stock or otherwise make a sufficient number of shares of Common Stock available for such purpose, in each case subject to the terms and conditions set forth in Section 4.11 of the Purchase Agreement. The Corporation covenants that all shares of Common Stock that shall be so issuable shall, upon issue, be duly authorized, validly issued, fully paid and nonassessable.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B-10 </w:t>
      </w:r>
    </w:p>
    <w:p>
      <w:pPr>
        <w:pStyle w:val="TextBody"/>
        <w:bidi w:val="0"/>
        <w:spacing w:before="0" w:after="0"/>
        <w:ind w:left="0" w:right="0" w:hanging="0"/>
        <w:jc w:val="left"/>
        <w:rPr/>
      </w:pPr>
      <w:r>
        <w:rPr/>
        <w:t> </w:t>
      </w:r>
    </w:p>
    <w:p>
      <w:pPr>
        <w:pStyle w:val="TextBody"/>
        <w:bidi w:val="0"/>
        <w:ind w:left="144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vi.                        </w:t>
      </w:r>
      <w:r>
        <w:rPr>
          <w:rFonts w:ascii="Times New Roman;Times;Serif" w:hAnsi="Times New Roman;Times;Serif"/>
          <w:sz w:val="20"/>
          <w:u w:val="single"/>
        </w:rPr>
        <w:t>Fractional Shares</w:t>
      </w:r>
      <w:r>
        <w:rPr>
          <w:rFonts w:ascii="Times New Roman;Times;Serif" w:hAnsi="Times New Roman;Times;Serif"/>
          <w:sz w:val="20"/>
        </w:rPr>
        <w:t>. No fractional shares or scrip representing fractional shares shall be issued upon the conversion of the Preferred Stock. As to any fraction of a share which the Holder would otherwise be entitled to purchase upon such conversion, the Corporation shall round up to the next whole share. Notwithstanding anything to the contrary contained herein, but consistent with the provisions of this subsection with respect to fractional Conversion Shares, nothing shall prevent any Holder from converting fractional shares of Preferred Stock.</w:t>
      </w:r>
    </w:p>
    <w:p>
      <w:pPr>
        <w:pStyle w:val="TextBody"/>
        <w:bidi w:val="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vii.                        </w:t>
      </w:r>
      <w:r>
        <w:rPr>
          <w:rFonts w:ascii="Times New Roman;Times;Serif" w:hAnsi="Times New Roman;Times;Serif"/>
          <w:sz w:val="20"/>
          <w:u w:val="single"/>
        </w:rPr>
        <w:t>Transfer Taxes and Expenses</w:t>
      </w:r>
      <w:r>
        <w:rPr>
          <w:rFonts w:ascii="Times New Roman;Times;Serif" w:hAnsi="Times New Roman;Times;Serif"/>
          <w:sz w:val="20"/>
        </w:rPr>
        <w:t>. The issuance of Conversion Shares on conversion of this Preferred Stock shall be made without charge to any Holder for any documentary stamp or similar taxes that may be payable in respect of the issue or delivery of such Conversion Shares, provided that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 The Corporation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Beneficial Ownership Limitation</w:t>
      </w:r>
      <w:r>
        <w:rPr>
          <w:rFonts w:ascii="Times New Roman;Times;Serif" w:hAnsi="Times New Roman;Times;Serif"/>
          <w:sz w:val="20"/>
        </w:rPr>
        <w:t>. The Corporation shall not effect any conversion of the Preferred Stock, and a Holder shall not have the right to convert any portion of the Preferred Stock, to the extent that, after giving effect to the conversion set forth on the applicable Notice of Conversion, such Holder (together with such Holder’s Affiliates, and any Persons acting as a group together with such Holder or any of such Holder’s Affiliates (such Persons, “</w:t>
      </w:r>
      <w:r>
        <w:rPr>
          <w:rFonts w:ascii="Times New Roman;Times;Serif" w:hAnsi="Times New Roman;Times;Serif"/>
          <w:sz w:val="20"/>
          <w:u w:val="single"/>
        </w:rPr>
        <w:t>Attribution Parties</w:t>
      </w:r>
      <w:r>
        <w:rPr>
          <w:rFonts w:ascii="Times New Roman;Times;Serif" w:hAnsi="Times New Roman;Times;Serif"/>
          <w:sz w:val="20"/>
        </w:rPr>
        <w:t>”)) would beneficially own in excess of the Beneficial Ownership Limitation (as defined below).  For purposes of the foregoing sentence, the number of shares of Common Stock beneficially owned by such Holder and its Affiliates and Attribution Parties shall include the number of shares of Common Stock issuable upon conversion of the Preferred Stock with respect to which such determination is being made, but shall exclude the number of shares of Common Stock which are issuable upon (i) conversion of the remaining, unconverted Stated Value of Preferred Stock beneficially owned by such Holder or any of its Affiliates or Attribution Parties and (ii) exercise or conversion of the unexercised or unconverted portion of any other securities of the Corporation subject to a limitation on conversion or exercise analogous to the limitation contained herein (including, without limitation, the Preferred Stock and the Warrants) beneficially owned by such Holder or any of its Affiliates or Attribution Parties.  Except as set forth in the preceding sentence, for purposes of this Section 6(d), beneficial ownership shall be calculated in accordance with Section 13(d) of the Exchange Act and the rules and regulations promulgated thereunder. To the extent that the limitation contained in this Section 6(d) applies, the determination of whether the Preferred Stock is convertible (in relation to other securities owned by such Holder together with any Affiliates and Attribution Parties) and of how many shares of Preferred Stock are convertible shall be in the sole discretion of such Holder, and the submission of a Notice of Conversion shall be deemed to be such Holder’s determination of whether the shares of Preferred Stock may be converted (in relation to other securities owned by such Holder together with any Affiliates and Attribution Parties) and how many shares of the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provided that for purposes of this Section 6(d), the Holder shall be entitled to rely on: (i) the Corporation’s most recent periodic or annual report filed with the Commission, (ii) a more recent public announcement by the Corporation, or (iii) a more recent written notice by the Corporation or the Transfer Agent setting forth the number of shares of Common Stock outstanding. In addition, a determination as to any group status as contemplated above shall be determined in accordance with Section 13(d)(3) of the Exchange Act and the rules and regulations promulgated thereunder.  Upon the request of a Holder, the Corporation shall within one Trading Day confirm orally and in writing to such Holder the number of shares of Common Stock then outstanding.  In any case, the number of outstanding shares of Common Stock shall be determined after giving effect to the conversion or exercise of securities of the Corporation, including the Preferred Stock and the Warrants, by such Holder or its Affiliates or Attribution Parties since the date as of which such number of outstanding shares of Common Stock was reported. The “</w:t>
      </w:r>
      <w:r>
        <w:rPr>
          <w:rFonts w:ascii="Times New Roman;Times;Serif" w:hAnsi="Times New Roman;Times;Serif"/>
          <w:sz w:val="20"/>
          <w:u w:val="single"/>
        </w:rPr>
        <w:t>Beneficial Ownership Limitation</w:t>
      </w:r>
      <w:r>
        <w:rPr>
          <w:rFonts w:ascii="Times New Roman;Times;Serif" w:hAnsi="Times New Roman;Times;Serif"/>
          <w:sz w:val="20"/>
        </w:rPr>
        <w:t>” shall be 9.99% of the number of shares of the Common Stock outstanding immediately after giving effect to the issuance of shares of Common Stock issuable upon conversion of Preferred Stock held by the applicable Holder. In the event that the issuance of shares of Common Stock to the Holder upon conversion of the Preferred Stock results in the Holder together with any Affiliates and Attribution Parties being deemed to beneficially own, in the aggregate, a number of outstanding shares of Common Stock in excess of the Beneficial Ownership Limitation, the number of shares so issued by which the Holder’s together with any of its Affiliates’ and Attribution Parties’ aggregate beneficial ownership of shares of Common Stock exceeds the Beneficial Ownership Limitation (the “</w:t>
      </w:r>
      <w:r>
        <w:rPr>
          <w:rFonts w:ascii="Times New Roman;Times;Serif" w:hAnsi="Times New Roman;Times;Serif"/>
          <w:sz w:val="20"/>
          <w:u w:val="single"/>
        </w:rPr>
        <w:t>Excess Shares</w:t>
      </w:r>
      <w:r>
        <w:rPr>
          <w:rFonts w:ascii="Times New Roman;Times;Serif" w:hAnsi="Times New Roman;Times;Serif"/>
          <w:sz w:val="20"/>
        </w:rPr>
        <w:t>”) shall be deemed null and void and shall be cancelled ab initio, and the Holder shall not have the power to vote or transfer the Excess Shares. A Holder, upon notice to the Corporation, may increase or decrease the Beneficial Ownership Limitation provisions of this Section 6(d) applicable to its Preferred Stock provided that the Beneficial Ownership Limitation in no event exceeds 9.99% of the number of shares of the Common Stock outstanding immediately after giving effect to the issuance of shares of Common Stock upon conversion of this Preferred Stock held by the Holder and the provisions of this Section 6(d) shall continue to apply. Any such increase in the Beneficial Ownership Limitation will not be effective until the 61</w:t>
      </w:r>
      <w:r>
        <w:rPr>
          <w:rFonts w:ascii="Times New Roman;Times;Serif" w:hAnsi="Times New Roman;Times;Serif"/>
          <w:position w:val="7"/>
          <w:sz w:val="16"/>
          <w:sz w:val="20"/>
        </w:rPr>
        <w:t>st</w:t>
      </w:r>
      <w:r>
        <w:rPr>
          <w:rFonts w:ascii="Times New Roman;Times;Serif" w:hAnsi="Times New Roman;Times;Serif"/>
          <w:sz w:val="20"/>
        </w:rPr>
        <w:t xml:space="preserve"> day after such notice is delivered to the Corporation and shall only apply to such Holder and no other Holder. The provisions of this paragraph shall be construed and implemented in a manner otherwise than in strict conformity with the terms of this Section 6(d)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Preferred Stock.</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B-11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Issuance Limitations</w:t>
      </w:r>
      <w:r>
        <w:rPr>
          <w:rFonts w:ascii="Times New Roman;Times;Serif" w:hAnsi="Times New Roman;Times;Serif"/>
          <w:sz w:val="20"/>
        </w:rPr>
        <w:t xml:space="preserve">. Notwithstanding anything herein to the contrary, if the Corporation has not obtained Shareholder Approval, then the Corporation may not issue, upon conversion of the Preferred Stock, a number of shares of Common Stock which, when aggregated with any shares of Common Stock issued on or after the Original Issue Date and prior to such Conversion Date (i) in connection with any conversion of Preferred Stock issued pursuant to the Purchase Agreement, and (ii) in connection with the exercise of any Warrants issued pursuant to the Purchase Agreement, would exceed the Issuable Maximum (as defined in the Purchase Agreement). Each Holder shall be entitled to its respective pro rata portion of the Issuable Maximum equal to the quotient obtained by dividing (x) the original Stated Value of such Holder’s Preferred Stock by (y) the aggregate Stated Value of all Preferred Stock issued on the Original Issue Date to all Holders. In addition, each Holder may allocate its pro-rata portion of the Issuable Maximum among Preferred Stock and Warrants held by it in its sole discretion. Such portion shall be adjusted upward ratably in the event a Holder no longer holds any Preferred Stock or Warrants and the amount of shares issued to such Holder pursuant to such Holder’s Preferred Stock and Warrants was less than such Holder’s pro-rata share of the Issuable Maximum. </w:t>
      </w:r>
    </w:p>
    <w:p>
      <w:pPr>
        <w:pStyle w:val="TextBody"/>
        <w:bidi w:val="0"/>
        <w:ind w:left="1440" w:right="0" w:hanging="0"/>
        <w:jc w:val="both"/>
        <w:rPr/>
      </w:pPr>
      <w:r>
        <w:rPr/>
        <w:t> </w:t>
      </w:r>
    </w:p>
    <w:p>
      <w:pPr>
        <w:pStyle w:val="TextBody"/>
        <w:bidi w:val="0"/>
        <w:ind w:left="0" w:right="0" w:firstLine="1440"/>
        <w:jc w:val="both"/>
        <w:rPr>
          <w:rFonts w:ascii="Times New Roman;Times;Serif" w:hAnsi="Times New Roman;Times;Serif"/>
          <w:sz w:val="20"/>
        </w:rPr>
      </w:pPr>
      <w:r>
        <w:rPr>
          <w:rFonts w:ascii="Times New Roman;Times;Serif" w:hAnsi="Times New Roman;Times;Serif"/>
          <w:sz w:val="20"/>
          <w:u w:val="single"/>
        </w:rPr>
        <w:t>Section 7</w:t>
      </w:r>
      <w:r>
        <w:rPr>
          <w:rFonts w:ascii="Times New Roman;Times;Serif" w:hAnsi="Times New Roman;Times;Serif"/>
          <w:sz w:val="20"/>
        </w:rPr>
        <w:t xml:space="preserve">. </w:t>
        <w:tab/>
      </w:r>
      <w:r>
        <w:rPr>
          <w:rFonts w:ascii="Times New Roman;Times;Serif" w:hAnsi="Times New Roman;Times;Serif"/>
          <w:sz w:val="20"/>
          <w:u w:val="single"/>
        </w:rPr>
        <w:t>Certain Adjustments</w:t>
      </w:r>
      <w:r>
        <w:rPr>
          <w:rFonts w:ascii="Times New Roman;Times;Serif" w:hAnsi="Times New Roman;Times;Serif"/>
          <w:sz w:val="20"/>
        </w:rPr>
        <w:t>. The Conversion Price shall be subject to adjustment from time-to-time as follows:</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Stock Dividends and Stock Splits</w:t>
      </w:r>
      <w:r>
        <w:rPr>
          <w:rFonts w:ascii="Times New Roman;Times;Serif" w:hAnsi="Times New Roman;Times;Serif"/>
          <w:sz w:val="20"/>
        </w:rPr>
        <w:t xml:space="preserve">. If, at any time while any shares of the Preferred Stock remain outstanding, the Corporation: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a dividend on, this Preferred Stock, the Warrant Shares, and/or other securities exercisable or exchangeable for or convertible into shares of Common Stock issued and outstanding on the date of the Purchase Agreement, provided that such securities have not been amended since the date of the Purchase Agreement to increase the number of such securities or to decrease the exercise price, exchange price or conversion price of any such securities or to extend the term of such </w:t>
      </w:r>
      <w:r>
        <w:rPr>
          <w:rFonts w:ascii="Times New Roman;Times;Serif" w:hAnsi="Times New Roman;Times;Serif"/>
          <w:spacing w:val="-2"/>
          <w:sz w:val="20"/>
        </w:rPr>
        <w:t>securities),</w:t>
      </w:r>
      <w:r>
        <w:rPr>
          <w:rFonts w:ascii="Times New Roman;Times;Serif" w:hAnsi="Times New Roman;Times;Serif"/>
          <w:sz w:val="20"/>
        </w:rPr>
        <w:t xml:space="preserve">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Subsequent Equity Sales</w:t>
      </w:r>
      <w:r>
        <w:rPr>
          <w:rFonts w:ascii="Times New Roman;Times;Serif" w:hAnsi="Times New Roman;Times;Serif"/>
          <w:sz w:val="20"/>
        </w:rPr>
        <w:t>. If, at any time subsequent to the First Closing Date, and while any shares of Preferred Stock remain outstanding, the Corporation sells or grants any option to purchase, or sells or grants any right to reprice, or otherwise disposes of or issues (or announces any sale, grant or any option to purchase or other disposition), any Common Stock or Common Stock Equivalents entitling any Person to acquire shares of Common Stock at an effective price per share that is lower than the then Conversion Price (such lower price, the “</w:t>
      </w:r>
      <w:r>
        <w:rPr>
          <w:rFonts w:ascii="Times New Roman;Times;Serif" w:hAnsi="Times New Roman;Times;Serif"/>
          <w:sz w:val="20"/>
          <w:u w:val="single"/>
        </w:rPr>
        <w:t>Base Conversion Price</w:t>
      </w:r>
      <w:r>
        <w:rPr>
          <w:rFonts w:ascii="Times New Roman;Times;Serif" w:hAnsi="Times New Roman;Times;Serif"/>
          <w:sz w:val="20"/>
        </w:rPr>
        <w:t>” and any such issuance, a “</w:t>
      </w:r>
      <w:r>
        <w:rPr>
          <w:rFonts w:ascii="Times New Roman;Times;Serif" w:hAnsi="Times New Roman;Times;Serif"/>
          <w:sz w:val="20"/>
          <w:u w:val="single"/>
        </w:rPr>
        <w:t>Dilutive Issuance</w:t>
      </w:r>
      <w:r>
        <w:rPr>
          <w:rFonts w:ascii="Times New Roman;Times;Serif" w:hAnsi="Times New Roman;Times;Serif"/>
          <w:sz w:val="20"/>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simultaneously with the consummation (or, if earlier, the announcement) of each Dilutive Issuance the Conversion Price shall be reduced to equal the Base Conversion Price, provided that the Base Conversion Price shall not be less than the Floor Price. Notwithstanding the foregoing, no adjustment will be made under this Section 7(b) in respect of an Exempt Issuance. The Corporation shall notify the Holders in writing, no later than the Trading Day following the issuance of any Common Stock or Common Stock Equivalents subject to this Section 7(b), indicating therein the applicable issuance price, or applicable reset price, exchange price, conversion price and other pricing terms (such notice, the “</w:t>
      </w:r>
      <w:r>
        <w:rPr>
          <w:rFonts w:ascii="Times New Roman;Times;Serif" w:hAnsi="Times New Roman;Times;Serif"/>
          <w:sz w:val="20"/>
          <w:u w:val="single"/>
        </w:rPr>
        <w:t>Dilutive Issuance Notice</w:t>
      </w:r>
      <w:r>
        <w:rPr>
          <w:rFonts w:ascii="Times New Roman;Times;Serif" w:hAnsi="Times New Roman;Times;Serif"/>
          <w:sz w:val="20"/>
        </w:rPr>
        <w:t>”). For purposes of clarification, whether or not the Corporation provides a Dilutive Issuance Notice pursuant to this Section 7(b), upon the occurrence of any Dilutive Issuance, the Holders are entitled to receive a number of Conversion Shares based upon the Base Conversion Price on or after the date of such Dilutive Issuance, regardless of whether a Holder accurately refers to the Base Conversion Price in the Notice of Conversion. If the Company receives a Conversion Notice at a time at which the applicable Conversion Price then in effect (without regard to the Floor Price) is lower than the Floor Price then in effect (such amount, the “</w:t>
      </w:r>
      <w:r>
        <w:rPr>
          <w:rFonts w:ascii="Times New Roman;Times;Serif" w:hAnsi="Times New Roman;Times;Serif"/>
          <w:sz w:val="20"/>
          <w:u w:val="single"/>
        </w:rPr>
        <w:t>Applicable Conversion Price</w:t>
      </w:r>
      <w:r>
        <w:rPr>
          <w:rFonts w:ascii="Times New Roman;Times;Serif" w:hAnsi="Times New Roman;Times;Serif"/>
          <w:sz w:val="20"/>
        </w:rPr>
        <w:t>”), the Company shall, in its sole discretion, either (i) reduce the Floor Price to the Applicable Conversion Price and allow such conversion to be made at the Applicable Conversion Price, or (ii) issue a number of shares of Common Stock equal to the Conversion Amount divided by the Floor Price (without adjusting to the Applicable Conversion Price) and either (A) pay the Economic Difference in cash or (B) add the Economic Difference to the Stated Value of the Holder’s shares of Preferred Stock that remain unconverted following such conversion. For purposes of this section, “</w:t>
      </w:r>
      <w:r>
        <w:rPr>
          <w:rFonts w:ascii="Times New Roman;Times;Serif" w:hAnsi="Times New Roman;Times;Serif"/>
          <w:sz w:val="20"/>
          <w:u w:val="single"/>
        </w:rPr>
        <w:t>Economic Difference</w:t>
      </w:r>
      <w:r>
        <w:rPr>
          <w:rFonts w:ascii="Times New Roman;Times;Serif" w:hAnsi="Times New Roman;Times;Serif"/>
          <w:spacing w:val="34"/>
          <w:sz w:val="20"/>
        </w:rPr>
        <w:t xml:space="preserve">” </w:t>
      </w:r>
      <w:r>
        <w:rPr>
          <w:rFonts w:ascii="Times New Roman;Times;Serif" w:hAnsi="Times New Roman;Times;Serif"/>
          <w:sz w:val="20"/>
        </w:rPr>
        <w:t xml:space="preserve">shall be equal to (A) the number of shares of Common Stock that would have been delivered </w:t>
      </w:r>
      <w:r>
        <w:rPr>
          <w:rFonts w:ascii="Times New Roman;Times;Serif" w:hAnsi="Times New Roman;Times;Serif"/>
          <w:spacing w:val="-10"/>
          <w:sz w:val="20"/>
        </w:rPr>
        <w:t xml:space="preserve">upon conversion of the Conversion Amount at </w:t>
      </w:r>
      <w:r>
        <w:rPr>
          <w:rFonts w:ascii="Times New Roman;Times;Serif" w:hAnsi="Times New Roman;Times;Serif"/>
          <w:sz w:val="20"/>
        </w:rPr>
        <w:t xml:space="preserve">the Applicable Conversion Price, </w:t>
      </w:r>
      <w:r>
        <w:rPr>
          <w:rFonts w:ascii="Times New Roman;Times;Serif" w:hAnsi="Times New Roman;Times;Serif"/>
          <w:sz w:val="20"/>
          <w:u w:val="single"/>
        </w:rPr>
        <w:t>minus</w:t>
      </w:r>
      <w:r>
        <w:rPr>
          <w:rFonts w:ascii="Times New Roman;Times;Serif" w:hAnsi="Times New Roman;Times;Serif"/>
          <w:sz w:val="20"/>
        </w:rPr>
        <w:t xml:space="preserve"> (B) the number of shares of Common Stock </w:t>
      </w:r>
      <w:r>
        <w:rPr>
          <w:rFonts w:ascii="Times New Roman;Times;Serif" w:hAnsi="Times New Roman;Times;Serif"/>
          <w:spacing w:val="-10"/>
          <w:sz w:val="20"/>
        </w:rPr>
        <w:t xml:space="preserve">actually </w:t>
      </w:r>
      <w:r>
        <w:rPr>
          <w:rFonts w:ascii="Times New Roman;Times;Serif" w:hAnsi="Times New Roman;Times;Serif"/>
          <w:sz w:val="20"/>
        </w:rPr>
        <w:t xml:space="preserve">delivered upon conversion of the Conversion Amount at the Floor Price, </w:t>
      </w:r>
      <w:r>
        <w:rPr>
          <w:rFonts w:ascii="Times New Roman;Times;Serif" w:hAnsi="Times New Roman;Times;Serif"/>
          <w:sz w:val="20"/>
          <w:u w:val="single"/>
        </w:rPr>
        <w:t>multiplied</w:t>
      </w:r>
      <w:r>
        <w:rPr>
          <w:rFonts w:ascii="Times New Roman;Times;Serif" w:hAnsi="Times New Roman;Times;Serif"/>
          <w:sz w:val="20"/>
        </w:rPr>
        <w:t xml:space="preserve"> by (C) the </w:t>
      </w:r>
      <w:r>
        <w:rPr>
          <w:rFonts w:ascii="Times New Roman;Times;Serif" w:hAnsi="Times New Roman;Times;Serif"/>
          <w:sz w:val="20"/>
          <w:u w:val="single"/>
        </w:rPr>
        <w:t>lower</w:t>
      </w:r>
      <w:r>
        <w:rPr>
          <w:rFonts w:ascii="Times New Roman;Times;Serif" w:hAnsi="Times New Roman;Times;Serif"/>
          <w:sz w:val="20"/>
        </w:rPr>
        <w:t xml:space="preserve"> of (1) the daily VWAP of the Common Stock on the Conversion Date, and (2) the Applicable Conversion Price, as reflected in the following formula: ((A - B) * C).</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B-12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Subsequent Rights Offerings</w:t>
      </w:r>
      <w:r>
        <w:rPr>
          <w:rFonts w:ascii="Times New Roman;Times;Serif" w:hAnsi="Times New Roman;Times;Serif"/>
          <w:sz w:val="20"/>
        </w:rPr>
        <w:t>. In addition to any adjustments pursuant to Section 7(a) above, if at any time the Corporation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sz w:val="20"/>
          <w:u w:val="single"/>
        </w:rPr>
        <w:t>Purchase Rights</w:t>
      </w:r>
      <w:r>
        <w:rPr>
          <w:rFonts w:ascii="Times New Roman;Times;Serif" w:hAnsi="Times New Roman;Times;Serif"/>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Preferred Stock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Pro Rata Distributions</w:t>
      </w:r>
      <w:r>
        <w:rPr>
          <w:rFonts w:ascii="Times New Roman;Times;Serif" w:hAnsi="Times New Roman;Times;Serif"/>
          <w:sz w:val="20"/>
        </w:rPr>
        <w:t>. If, at any time while any shares of the Preferred Stock remain outstanding,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sz w:val="20"/>
          <w:u w:val="single"/>
        </w:rPr>
        <w:t>Distribution</w:t>
      </w:r>
      <w:r>
        <w:rPr>
          <w:rFonts w:ascii="Times New Roman;Times;Serif" w:hAnsi="Times New Roman;Times;Serif"/>
          <w:sz w:val="20"/>
        </w:rPr>
        <w:t>"), at any time after the issuance of this Preferred Stock, then, in each such case, the Holder shall be entitled to participate in such Distribution to the same extent that the Holder would have participated therein if the Holder had held the number of shares of Common Stock acquirable upon complete conversion of this Preferred Stock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ind w:left="720" w:right="0" w:hanging="0"/>
        <w:jc w:val="both"/>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Fundamental Transaction</w:t>
      </w:r>
      <w:r>
        <w:rPr>
          <w:rFonts w:ascii="Times New Roman;Times;Serif" w:hAnsi="Times New Roman;Times;Serif"/>
          <w:sz w:val="20"/>
        </w:rPr>
        <w:t>. If, at any time while any shares of Preferred Stock remain outstanding, (i) the Corporation, directly or indirectly, in one or more related transactions effects any merger or consolidation of the Corporation with or into another Person,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(each a “</w:t>
      </w:r>
      <w:r>
        <w:rPr>
          <w:rFonts w:ascii="Times New Roman;Times;Serif" w:hAnsi="Times New Roman;Times;Serif"/>
          <w:sz w:val="20"/>
          <w:u w:val="single"/>
        </w:rPr>
        <w:t>Fundamental Transaction</w:t>
      </w:r>
      <w:r>
        <w:rPr>
          <w:rFonts w:ascii="Times New Roman;Times;Serif" w:hAnsi="Times New Roman;Times;Serif"/>
          <w:sz w:val="20"/>
        </w:rPr>
        <w:t>”), then, upon any subsequent conversion of this Preferred Stock, the Holder shall have the right to receive, for each Conversion Share that would have been issuable upon such conversion immediately prior to the occurrence of such Fundamental Transaction (without regard to any limitation in Section 6(d) and Section 6(e) on the conversion of this Preferred Stock), the number of shares of Common Stock of the successor or acquiring corporation or of the Corporation, if it is the surviving corporation, and any additional consideration (the “</w:t>
      </w:r>
      <w:r>
        <w:rPr>
          <w:rFonts w:ascii="Times New Roman;Times;Serif" w:hAnsi="Times New Roman;Times;Serif"/>
          <w:sz w:val="20"/>
          <w:u w:val="single"/>
        </w:rPr>
        <w:t>Alternate Consideration</w:t>
      </w:r>
      <w:r>
        <w:rPr>
          <w:rFonts w:ascii="Times New Roman;Times;Serif" w:hAnsi="Times New Roman;Times;Serif"/>
          <w:sz w:val="20"/>
        </w:rPr>
        <w:t>”) receivable as a result of such Fundamental Transaction by a holder of the number of shares of Common Stock for which this Preferred Stock is convertible immediately prior to such Fundamental Transaction (without regard to any limitation in Section 6(d) and Section 6(e) on the conversion of this Preferred Stock).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Corporation shall cause any successor entity in a Fundamental Transaction in which the Corporation is not the survivor (the “</w:t>
      </w:r>
      <w:r>
        <w:rPr>
          <w:rFonts w:ascii="Times New Roman;Times;Serif" w:hAnsi="Times New Roman;Times;Serif"/>
          <w:sz w:val="20"/>
          <w:u w:val="single"/>
        </w:rPr>
        <w:t>Successor Entity</w:t>
      </w:r>
      <w:r>
        <w:rPr>
          <w:rFonts w:ascii="Times New Roman;Times;Serif" w:hAnsi="Times New Roman;Times;Serif"/>
          <w:sz w:val="20"/>
        </w:rPr>
        <w:t>”) to assume in writing all of the obligations of the Corporation under this Certificate of Designation and the other Transaction Documents in accordance with the provisions of this Section 7(e) pursuant to written agreements in form and substance reasonably satisfactory to the Holder and approved by the Holder (without unreasonable delay) prior to such Fundamental Transaction and shall, at the option of the holder of this Preferred Stock, deliver to the Holder in exchange for this Preferred Stock a security of the Successor Entity evidenced by a written instrument substantially similar in form and substance to this Preferred Stock which is convertible for a corresponding number of shares of capital stock of such Successor Entity (or its parent entity) equivalent to the shares of Common Stock acquirable and receivable upon conversion of this Preferred Stock (without regard to any limitations on the conversion of this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Preferred Stock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B-13 </w:t>
      </w:r>
    </w:p>
    <w:p>
      <w:pPr>
        <w:pStyle w:val="TextBody"/>
        <w:bidi w:val="0"/>
        <w:spacing w:before="0" w:after="0"/>
        <w:ind w:left="0" w:right="0" w:hanging="0"/>
        <w:jc w:val="left"/>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Calculations</w:t>
      </w:r>
      <w:r>
        <w:rPr>
          <w:rFonts w:ascii="Times New Roman;Times;Serif" w:hAnsi="Times New Roman;Times;Serif"/>
          <w:sz w:val="20"/>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Notice to the Holders</w:t>
      </w:r>
      <w:r>
        <w:rPr>
          <w:rFonts w:ascii="Times New Roman;Times;Serif" w:hAnsi="Times New Roman;Times;Serif"/>
          <w:sz w:val="20"/>
        </w:rPr>
        <w:t>.</w:t>
      </w:r>
    </w:p>
    <w:p>
      <w:pPr>
        <w:pStyle w:val="TextBody"/>
        <w:bidi w:val="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Adjustment to Conversion Price</w:t>
      </w:r>
      <w:r>
        <w:rPr>
          <w:rFonts w:ascii="Times New Roman;Times;Serif" w:hAnsi="Times New Roman;Times;Serif"/>
          <w:sz w:val="20"/>
        </w:rPr>
        <w:t xml:space="preserve">. Whenever the Conversion Price is adjusted pursuant to any provision of this Section 7, the Corporation shall promptly deliver to each Holder by email a notice setting forth the Conversion Price after such adjustment and setting forth a brief statement of the facts requiring such adjustment. </w:t>
      </w:r>
    </w:p>
    <w:p>
      <w:pPr>
        <w:pStyle w:val="TextBody"/>
        <w:bidi w:val="0"/>
        <w:ind w:left="144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Notice to Allow Conversion by Holder</w:t>
      </w:r>
      <w:r>
        <w:rPr>
          <w:rFonts w:ascii="Times New Roman;Times;Serif" w:hAnsi="Times New Roman;Times;Serif"/>
          <w:sz w:val="20"/>
        </w:rPr>
        <w:t xml:space="preserve">.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shareholders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Preferred Stock, and shall cause to be delivered by email to each Holder at its last email address as it shall 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the Corporation shall simultaneously file such notice with the Commission pursuant to a Current Report on Form 8-K. The Holder shall remain entitled to convert the Conversion Amount of this Preferred Stock (or any part hereof) during the 20-day period commencing on the date of such notice through the effective date of the event triggering such notice except as may otherwise be expressly set forth herein. </w:t>
      </w:r>
    </w:p>
    <w:p>
      <w:pPr>
        <w:pStyle w:val="TextBody"/>
        <w:bidi w:val="0"/>
        <w:ind w:left="1440" w:right="0" w:hanging="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8</w:t>
      </w:r>
      <w:r>
        <w:rPr>
          <w:rFonts w:ascii="Times New Roman;Times;Serif" w:hAnsi="Times New Roman;Times;Serif"/>
          <w:sz w:val="20"/>
        </w:rPr>
        <w:t xml:space="preserve">. </w:t>
        <w:tab/>
      </w:r>
      <w:r>
        <w:rPr>
          <w:rFonts w:ascii="Times New Roman;Times;Serif" w:hAnsi="Times New Roman;Times;Serif"/>
          <w:sz w:val="20"/>
          <w:u w:val="single"/>
        </w:rPr>
        <w:t>Reserved</w:t>
      </w:r>
      <w:r>
        <w:rPr>
          <w:rFonts w:ascii="Times New Roman;Times;Serif" w:hAnsi="Times New Roman;Times;Serif"/>
          <w:sz w:val="20"/>
        </w:rPr>
        <w:t>.</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9</w:t>
      </w:r>
      <w:r>
        <w:rPr>
          <w:rFonts w:ascii="Times New Roman;Times;Serif" w:hAnsi="Times New Roman;Times;Serif"/>
          <w:sz w:val="20"/>
        </w:rPr>
        <w:t xml:space="preserve">. </w:t>
        <w:tab/>
      </w:r>
      <w:r>
        <w:rPr>
          <w:rFonts w:ascii="Times New Roman;Times;Serif" w:hAnsi="Times New Roman;Times;Serif"/>
          <w:sz w:val="20"/>
          <w:u w:val="single"/>
        </w:rPr>
        <w:t>Negative Covenants</w:t>
      </w:r>
      <w:r>
        <w:rPr>
          <w:rFonts w:ascii="Times New Roman;Times;Serif" w:hAnsi="Times New Roman;Times;Serif"/>
          <w:sz w:val="20"/>
        </w:rPr>
        <w:t>. As long as at least 2,250 shares of Preferred Stock are outstanding, unless the Required Holders shall have otherwise given prior written consent, the Corporation shall not directly or indirectly:</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other than Permitted Indebtedness, enter into, create, incur, assume, guarantee or suffer to exist any Indebtedness;</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b)                  other than Permitted Liens, enter into, create, incur, assume or suffer to exist any Liens of any kind, on or with respect to any of its property or assets now owned or hereafter acquired or any interest therein or any income or profits therefrom;</w:t>
      </w:r>
    </w:p>
    <w:p>
      <w:pPr>
        <w:pStyle w:val="TextBody"/>
        <w:bidi w:val="0"/>
        <w:ind w:left="72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amend its charter documents, including, without limitation, its articles of incorporation and bylaws, in any manner that materially and adversely affects any rights of the Holders, including authorizing or creating any class of capital stock ranking as to dividends, redemption or distribution of assets upon a Liquidation (as defined in Section 5) senior to, or </w:t>
      </w:r>
      <w:r>
        <w:rPr>
          <w:rFonts w:ascii="Times New Roman;Times;Serif" w:hAnsi="Times New Roman;Times;Serif"/>
          <w:sz w:val="20"/>
          <w:u w:val="single"/>
        </w:rPr>
        <w:t>pari passu</w:t>
      </w:r>
      <w:r>
        <w:rPr>
          <w:rFonts w:ascii="Times New Roman;Times;Serif" w:hAnsi="Times New Roman;Times;Serif"/>
          <w:sz w:val="20"/>
        </w:rPr>
        <w:t xml:space="preserve"> with, the Preferred Stock, provided that nothing herein shall limit the Corporation’s right to file additional Certificates of Designation to designate the rights, preferences, restrictions and other matters relating to one or more additional series of Preferred Stock as contemplated by the terms of the Purchase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B-14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repay, repurchase or offer to repay, repurchase or otherwise acquire more than a </w:t>
      </w:r>
      <w:r>
        <w:rPr>
          <w:rFonts w:ascii="Times New Roman;Times;Serif" w:hAnsi="Times New Roman;Times;Serif"/>
          <w:sz w:val="20"/>
          <w:u w:val="single"/>
        </w:rPr>
        <w:t>de minimis</w:t>
      </w:r>
      <w:r>
        <w:rPr>
          <w:rFonts w:ascii="Times New Roman;Times;Serif" w:hAnsi="Times New Roman;Times;Serif"/>
          <w:sz w:val="20"/>
        </w:rPr>
        <w:t xml:space="preserve"> number of shares of its Common Stock, Common Stock Equivalents or Junior Securities, other than as to (i) the Conversion Shares or Warrant Shares as permitted or required under the Transaction Documents and (ii) repurchases of Common Stock or Common Stock Equivalents of departing officers and directors of the Corporation, provided that such repurchases shall not exceed an aggregate of $100,000 for all officers and directors for so long as the Preferred Stock is outstanding; </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pay cash dividends or distributions on Junior Securities of the Corporation;</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f)                   enter into any transaction with any Affiliate of the Corporation which would be required to be disclosed in any public filing with the Commission (as determined by counsel to the Corporation), unless such transaction is made on an arm’s-length basis and expressly approved by a majority of the disinterested directors of the Corporation (even if less than a quorum otherwise required for Board approval);</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g)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h)                  enter into any agreement with respect to any of the foregoing.</w:t>
      </w:r>
    </w:p>
    <w:p>
      <w:pPr>
        <w:pStyle w:val="TextBody"/>
        <w:bidi w:val="0"/>
        <w:jc w:val="both"/>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10</w:t>
      </w:r>
      <w:r>
        <w:rPr>
          <w:rFonts w:ascii="Times New Roman;Times;Serif" w:hAnsi="Times New Roman;Times;Serif"/>
          <w:sz w:val="20"/>
        </w:rPr>
        <w:t xml:space="preserve">. </w:t>
        <w:tab/>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83"/>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11</w:t>
      </w:r>
      <w:r>
        <w:rPr>
          <w:rFonts w:ascii="Times New Roman;Times;Serif" w:hAnsi="Times New Roman;Times;Serif"/>
          <w:sz w:val="20"/>
        </w:rPr>
        <w:t>.</w:t>
        <w:tab/>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ind w:left="72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Notices</w:t>
      </w:r>
      <w:r>
        <w:rPr>
          <w:rFonts w:ascii="Times New Roman;Times;Serif" w:hAnsi="Times New Roman;Times;Serif"/>
          <w:sz w:val="20"/>
        </w:rPr>
        <w:t>. Any and all notices or other communications or deliveries to be provided by the Holders hereunder including, without limitation, any Notice of Conversion, shall be in writing and delivered personally, by e-mail attachment, or sent by a nationally recognized overnight courier service, addressed to the Corporation, at the address set forth above Attention: Chief Financial Officer, e-mail address CFO@expion360.com, or such other e-mail address or address as the Corporation may specify for such purposes by notice to the Holders delivered in accordance with this Section 11. Any and all notices or other communications or deliveries to be provided by the Corporation hereunder shall be in writing and delivered personally, by e-mail attachment, or sent by a nationally recognized overnight courier service addressed to each Holder at the e-mail address or address of such Holder appearing on the books of the Corporation, or if no such e-mail address or address appears on the books of the Corporation,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attachment at the e-mail address set forth in this Section prior to 5:30 p.m. (New York City time) on any date, (ii) the next Trading Day after the date of transmission, if such notice or communication is delivered via e-mail attachment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B-15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Absolute Obligation</w:t>
      </w:r>
      <w:r>
        <w:rPr>
          <w:rFonts w:ascii="Times New Roman;Times;Serif" w:hAnsi="Times New Roman;Times;Serif"/>
          <w:sz w:val="20"/>
        </w:rPr>
        <w:t xml:space="preserve">. Except as expressly provided herein, no provision of this Certificate of Designation shall alter or impair the obligation of the Corporation, which is absolute and unconditional, to pay liquidated damages and accrued dividends, as applicable, on the shares of Preferred Stock at the time, place, and rate, and in the coin or currency, herein prescribed.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Lost or Mutilated Preferred Stock Certificate</w:t>
      </w:r>
      <w:r>
        <w:rPr>
          <w:rFonts w:ascii="Times New Roman;Times;Serif" w:hAnsi="Times New Roman;Times;Serif"/>
          <w:sz w:val="20"/>
        </w:rPr>
        <w:t>. If a Holder’s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Governing Law</w:t>
      </w:r>
      <w:r>
        <w:rPr>
          <w:rFonts w:ascii="Times New Roman;Times;Serif" w:hAnsi="Times New Roman;Times;Serif"/>
          <w:sz w:val="20"/>
        </w:rPr>
        <w:t>. All questions concerning the construction, validity, enforcement and interpretation of this Certificate of Designation shall be governed by and construed and enforced in accordance with the internal laws of the State of Nevada, without regard to the principles of conflict of laws thereof.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Times New Roman;Times;Serif" w:hAnsi="Times New Roman;Times;Serif"/>
          <w:sz w:val="20"/>
          <w:u w:val="single"/>
        </w:rPr>
        <w:t>New York Courts</w:t>
      </w:r>
      <w:r>
        <w:rPr>
          <w:rFonts w:ascii="Times New Roman;Times;Serif" w:hAnsi="Times New Roman;Times;Serif"/>
          <w:sz w:val="20"/>
        </w:rPr>
        <w:t>”). The Corporation and each Holder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The Corporation and each Holder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The Corporation and each Holder hereby irrevocably waives, to the fullest extent permitted by applicable law, any and all right to trial by jury in any legal proceeding arising out of or relating to this Certificate of Designation or the transactions contemplated hereby. If the Corporation or any Holder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Waiver</w:t>
      </w:r>
      <w:r>
        <w:rPr>
          <w:rFonts w:ascii="Times New Roman;Times;Serif" w:hAnsi="Times New Roman;Times;Serif"/>
          <w:sz w:val="20"/>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 Except as otherwise provided herein, any of the powers, designations, preferences, rights and other terms of the Preferred Stock may be waived on behalf of all holders of Preferred Stock by the affirmative vote or written consent of the Requisite Holders.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B-16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Severability</w:t>
      </w:r>
      <w:r>
        <w:rPr>
          <w:rFonts w:ascii="Times New Roman;Times;Serif" w:hAnsi="Times New Roman;Times;Serif"/>
          <w:sz w:val="20"/>
        </w:rPr>
        <w:t xml:space="preserve">.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 </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Next Business Day</w:t>
      </w:r>
      <w:r>
        <w:rPr>
          <w:rFonts w:ascii="Times New Roman;Times;Serif" w:hAnsi="Times New Roman;Times;Serif"/>
          <w:sz w:val="20"/>
        </w:rPr>
        <w:t>. Whenever any payment or other obligation hereunder shall be due on a day other than a Business Day, such payment shall be made on the next succeeding Business Day.</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Headings</w:t>
      </w:r>
      <w:r>
        <w:rPr>
          <w:rFonts w:ascii="Times New Roman;Times;Serif" w:hAnsi="Times New Roman;Times;Serif"/>
          <w:sz w:val="20"/>
        </w:rPr>
        <w:t>. The headings contained herein are for convenience only, do not constitute a part of this Certificate of Designation and shall not be deemed to limit or affect any of the provisions hereof.</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Status of Converted or Redeemed Preferred Stock</w:t>
      </w:r>
      <w:r>
        <w:rPr>
          <w:rFonts w:ascii="Times New Roman;Times;Serif" w:hAnsi="Times New Roman;Times;Serif"/>
          <w:sz w:val="20"/>
        </w:rPr>
        <w:t>. Shares of Preferred Stock may only be issued pursuant to the Purchase Agreement. If any shares of Preferred Stock shall be converted, redeemed or reacquired by the Corporation, such shares shall resume the status of authorized but unissued shares of preferred stock and shall no longer be designated as Series A-1 8% Preferred Stock.</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Successors and Assigns</w:t>
      </w:r>
      <w:r>
        <w:rPr>
          <w:rFonts w:ascii="Times New Roman;Times;Serif" w:hAnsi="Times New Roman;Times;Serif"/>
          <w:sz w:val="20"/>
        </w:rPr>
        <w:t>. Subject to compliance with any applicable securities laws and Section 4.1 of the Purchase Agreement, the Preferred Stock and all rights arising therefrom or relating thereto (including, without limitation, any registration rights) are transferable, in whole or in part, by the Holder in the manner and to the Persons as permitted under Section 5.7 of the Purchase Agreement.</w:t>
      </w:r>
    </w:p>
    <w:p>
      <w:pPr>
        <w:pStyle w:val="TextBody"/>
        <w:bidi w:val="0"/>
        <w:jc w:val="both"/>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 * * *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B-17 </w:t>
      </w:r>
    </w:p>
    <w:p>
      <w:pPr>
        <w:pStyle w:val="TextBody"/>
        <w:bidi w:val="0"/>
        <w:spacing w:before="0" w:after="0"/>
        <w:ind w:left="0" w:right="0" w:hanging="0"/>
        <w:jc w:val="left"/>
        <w:rPr/>
      </w:pPr>
      <w:r>
        <w:rPr/>
        <w:t> </w:t>
      </w:r>
    </w:p>
    <w:p>
      <w:pPr>
        <w:pStyle w:val="TextBody"/>
        <w:bidi w:val="0"/>
        <w:ind w:left="0" w:right="0" w:firstLine="916"/>
        <w:jc w:val="both"/>
        <w:rPr/>
      </w:pPr>
      <w:r>
        <w:rPr/>
        <w:t>       </w:t>
      </w:r>
      <w:r>
        <w:rPr>
          <w:rFonts w:ascii="Times New Roman;Times;Serif" w:hAnsi="Times New Roman;Times;Serif"/>
          <w:b/>
          <w:sz w:val="20"/>
        </w:rPr>
        <w:t>RESOLVED, FURTHER</w:t>
      </w:r>
      <w:r>
        <w:rPr>
          <w:rFonts w:ascii="Times New Roman;Times;Serif" w:hAnsi="Times New Roman;Times;Serif"/>
          <w:sz w:val="20"/>
        </w:rPr>
        <w:t>, that the Chief Executive Officer, Chief Financial Officer, and the Secretary or any Assistant Secretary, of the Corporation be, and each of them hereby is authorized and directed to prepare and file this Certificate of Designation of Preferences, Rights and Limitations in accordance with the foregoing resolution and the provisions of Nevada law.</w:t>
      </w:r>
    </w:p>
    <w:p>
      <w:pPr>
        <w:pStyle w:val="TextBody"/>
        <w:bidi w:val="0"/>
        <w:jc w:val="both"/>
        <w:rPr/>
      </w:pPr>
      <w:r>
        <w:rPr/>
        <w:t> </w:t>
      </w:r>
    </w:p>
    <w:p>
      <w:pPr>
        <w:pStyle w:val="TextBody"/>
        <w:bidi w:val="0"/>
        <w:ind w:left="0" w:right="0" w:firstLine="916"/>
        <w:jc w:val="both"/>
        <w:rPr>
          <w:rFonts w:ascii="Times New Roman;Times;Serif" w:hAnsi="Times New Roman;Times;Serif"/>
          <w:sz w:val="20"/>
        </w:rPr>
      </w:pPr>
      <w:r>
        <w:rPr>
          <w:rFonts w:ascii="Times New Roman;Times;Serif" w:hAnsi="Times New Roman;Times;Serif"/>
          <w:sz w:val="20"/>
        </w:rPr>
        <w:t>IN WITNESS WHEREOF, the undersigned has executed this Certificate this [___] day of [_____] 2026.</w:t>
      </w:r>
    </w:p>
    <w:p>
      <w:pPr>
        <w:pStyle w:val="TextBody"/>
        <w:bidi w:val="0"/>
        <w:jc w:val="both"/>
        <w:rPr/>
      </w:pPr>
      <w:r>
        <w:rPr/>
        <w:t> </w:t>
      </w:r>
    </w:p>
    <w:p>
      <w:pPr>
        <w:pStyle w:val="TextBody"/>
        <w:bidi w:val="0"/>
        <w:jc w:val="both"/>
        <w:rPr/>
      </w:pPr>
      <w:r>
        <w:rPr/>
        <w:t> </w:t>
      </w:r>
    </w:p>
    <w:p>
      <w:pPr>
        <w:pStyle w:val="TextBody"/>
        <w:bidi w:val="0"/>
        <w:ind w:left="5040" w:right="0" w:firstLine="5496"/>
        <w:jc w:val="both"/>
        <w:rPr/>
      </w:pPr>
      <w:r>
        <w:rPr/>
        <w:t> </w:t>
      </w:r>
    </w:p>
    <w:p>
      <w:pPr>
        <w:pStyle w:val="TextBody"/>
        <w:bidi w:val="0"/>
        <w:ind w:left="5040" w:right="0" w:hanging="0"/>
        <w:jc w:val="both"/>
        <w:rPr>
          <w:rFonts w:ascii="Times New Roman;Times;Serif" w:hAnsi="Times New Roman;Times;Serif"/>
          <w:sz w:val="20"/>
        </w:rPr>
      </w:pPr>
      <w:r>
        <w:rPr>
          <w:rFonts w:ascii="Times New Roman;Times;Serif" w:hAnsi="Times New Roman;Times;Serif"/>
          <w:sz w:val="20"/>
        </w:rPr>
        <w:t>Name:</w:t>
        <w:tab/>
      </w:r>
    </w:p>
    <w:p>
      <w:pPr>
        <w:pStyle w:val="TextBody"/>
        <w:bidi w:val="0"/>
        <w:ind w:left="5040" w:right="0" w:hanging="0"/>
        <w:jc w:val="both"/>
        <w:rPr>
          <w:rFonts w:ascii="Times New Roman;Times;Serif" w:hAnsi="Times New Roman;Times;Serif"/>
          <w:sz w:val="20"/>
        </w:rPr>
      </w:pPr>
      <w:r>
        <w:rPr>
          <w:rFonts w:ascii="Times New Roman;Times;Serif" w:hAnsi="Times New Roman;Times;Serif"/>
          <w:sz w:val="20"/>
        </w:rPr>
        <w:t xml:space="preserve">Title: </w:t>
        <w:tab/>
      </w:r>
    </w:p>
    <w:p>
      <w:pPr>
        <w:pStyle w:val="TextBody"/>
        <w:bidi w:val="0"/>
        <w:jc w:val="both"/>
        <w:rPr/>
      </w:pPr>
      <w:r>
        <w:rPr/>
        <w:t> </w:t>
      </w:r>
    </w:p>
    <w:p>
      <w:pPr>
        <w:pStyle w:val="TextBody"/>
        <w:bidi w:val="0"/>
        <w:spacing w:before="0" w:after="283"/>
        <w:jc w:val="left"/>
        <w:rPr/>
      </w:pPr>
      <w:r>
        <w:rPr/>
        <w:t> </w:t>
      </w:r>
    </w:p>
    <w:p>
      <w:pPr>
        <w:pStyle w:val="TextBody"/>
        <w:bidi w:val="0"/>
        <w:ind w:left="720" w:right="0" w:firstLine="72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B-18 </w:t>
      </w:r>
    </w:p>
    <w:p>
      <w:pPr>
        <w:pStyle w:val="TextBody"/>
        <w:bidi w:val="0"/>
        <w:spacing w:before="0" w:after="0"/>
        <w:ind w:left="0" w:right="0" w:hanging="0"/>
        <w:jc w:val="left"/>
        <w:rPr/>
      </w:pPr>
      <w:r>
        <w:rPr/>
        <w:t> </w:t>
      </w:r>
    </w:p>
    <w:p>
      <w:pPr>
        <w:pStyle w:val="TextBody"/>
        <w:bidi w:val="0"/>
        <w:jc w:val="right"/>
        <w:rPr>
          <w:rFonts w:ascii="Times New Roman;Times;Serif" w:hAnsi="Times New Roman;Times;Serif"/>
          <w:b/>
          <w:sz w:val="20"/>
        </w:rPr>
      </w:pPr>
      <w:r>
        <w:rPr>
          <w:rFonts w:ascii="Times New Roman;Times;Serif" w:hAnsi="Times New Roman;Times;Serif"/>
          <w:b/>
          <w:sz w:val="20"/>
        </w:rPr>
        <w:t>ANNEX A</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NOTICE OF CONVERSION</w:t>
      </w:r>
    </w:p>
    <w:p>
      <w:pPr>
        <w:pStyle w:val="TextBody"/>
        <w:bidi w:val="0"/>
        <w:spacing w:before="0" w:after="283"/>
        <w:jc w:val="left"/>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w:t>
      </w:r>
    </w:p>
    <w:p>
      <w:pPr>
        <w:pStyle w:val="TextBody"/>
        <w:bidi w:val="0"/>
        <w:ind w:left="0" w:right="0" w:firstLine="360"/>
        <w:jc w:val="both"/>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B-19 </w:t>
      </w:r>
    </w:p>
    <w:p>
      <w:pPr>
        <w:pStyle w:val="TextBody"/>
        <w:bidi w:val="0"/>
        <w:spacing w:before="0" w:after="283"/>
        <w:jc w:val="left"/>
        <w:rPr/>
      </w:pPr>
      <w:r>
        <w:rPr/>
        <w:t> </w:t>
      </w:r>
    </w:p>
    <w:p>
      <w:pPr>
        <w:pStyle w:val="TextBody"/>
        <w:bidi w:val="0"/>
        <w:ind w:left="0" w:right="0" w:hanging="0"/>
        <w:jc w:val="right"/>
        <w:rPr>
          <w:rFonts w:ascii="Times New Roman;Times;Serif" w:hAnsi="Times New Roman;Times;Serif"/>
          <w:b/>
          <w:sz w:val="20"/>
        </w:rPr>
      </w:pPr>
      <w:bookmarkStart w:id="28" w:name="ex_c.htm"/>
      <w:bookmarkStart w:id="29" w:name="ksex_c"/>
      <w:bookmarkEnd w:id="28"/>
      <w:bookmarkEnd w:id="29"/>
      <w:r>
        <w:rPr>
          <w:rFonts w:ascii="Times New Roman;Times;Serif" w:hAnsi="Times New Roman;Times;Serif"/>
          <w:b/>
          <w:sz w:val="20"/>
        </w:rPr>
        <w:t>Exhibit C</w:t>
      </w:r>
      <w:r>
        <w:br w:type="page"/>
      </w:r>
    </w:p>
    <w:p>
      <w:pPr>
        <w:pStyle w:val="TextBody"/>
        <w:bidi w:val="0"/>
        <w:ind w:left="0" w:right="0" w:hanging="0"/>
        <w:jc w:val="right"/>
        <w:rPr/>
      </w:pPr>
      <w:r>
        <w:rPr/>
        <w:t> </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NEITHER THIS SECURITY NOR THE SECURITIES INTO WHICH THIS SECURITY IS CONVERTIBLE HAVE BEEN REGISTERED WITH THE SECURITIES AND EXCHANGE COMMISSION OR THE SECURITIES COMMISSION OF ANY STATE IN RELIANCE UPON AN EXEMPTION FROM REGISTRATION UNDER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CONVERSION OF THIS SECURITY MAY BE PLEDGED IN CONNECTION WITH A BONA FIDE MARGIN ACCOUNT OR OTHER LOAN SECURED BY SUCH SECURITIES.</w:t>
      </w:r>
    </w:p>
    <w:p>
      <w:pPr>
        <w:pStyle w:val="TextBody"/>
        <w:bidi w:val="0"/>
        <w:jc w:val="righ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Original Issue Date: August 21, 2026</w:t>
        <w:tab/>
        <w:t xml:space="preserve"> Principal Amount: $[__________]</w:t>
      </w:r>
    </w:p>
    <w:p>
      <w:pPr>
        <w:pStyle w:val="TextBody"/>
        <w:bidi w:val="0"/>
        <w:jc w:val="both"/>
        <w:rPr>
          <w:rFonts w:ascii="Times New Roman;Times;Serif" w:hAnsi="Times New Roman;Times;Serif"/>
          <w:sz w:val="20"/>
        </w:rPr>
      </w:pPr>
      <w:r>
        <w:rPr>
          <w:rFonts w:ascii="Times New Roman;Times;Serif" w:hAnsi="Times New Roman;Times;Serif"/>
          <w:sz w:val="20"/>
        </w:rPr>
        <w:t>Conversion Price: $1,000 per share of Preferred Stock</w:t>
        <w:tab/>
      </w:r>
    </w:p>
    <w:p>
      <w:pPr>
        <w:pStyle w:val="TextBody"/>
        <w:bidi w:val="0"/>
        <w:spacing w:before="0" w:after="283"/>
        <w:jc w:val="left"/>
        <w:rPr/>
      </w:pPr>
      <w:r>
        <w:rPr/>
        <w:t> </w:t>
      </w:r>
    </w:p>
    <w:p>
      <w:pPr>
        <w:pStyle w:val="TextBody"/>
        <w:bidi w:val="0"/>
        <w:jc w:val="center"/>
        <w:rPr>
          <w:rFonts w:ascii="Times New Roman;Times;Serif" w:hAnsi="Times New Roman;Times;Serif"/>
          <w:b/>
          <w:caps/>
          <w:sz w:val="20"/>
        </w:rPr>
      </w:pPr>
      <w:r>
        <w:rPr>
          <w:rFonts w:ascii="Times New Roman;Times;Serif" w:hAnsi="Times New Roman;Times;Serif"/>
          <w:b/>
          <w:caps/>
          <w:sz w:val="20"/>
        </w:rPr>
        <w:t>8% CONVERTIBLE DEBENTURE</w:t>
      </w:r>
    </w:p>
    <w:p>
      <w:pPr>
        <w:pStyle w:val="TextBody"/>
        <w:bidi w:val="0"/>
        <w:jc w:val="center"/>
        <w:rPr>
          <w:rFonts w:ascii="Times New Roman;Times;Serif" w:hAnsi="Times New Roman;Times;Serif"/>
          <w:b/>
          <w:caps/>
          <w:sz w:val="20"/>
        </w:rPr>
      </w:pPr>
      <w:r>
        <w:rPr>
          <w:rFonts w:ascii="Times New Roman;Times;Serif" w:hAnsi="Times New Roman;Times;Serif"/>
          <w:b/>
          <w:caps/>
          <w:sz w:val="20"/>
        </w:rPr>
        <w:t>DUE AUGUST 21, 2029</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THIS 8% CONVERTIBLE DEBENTURE is one of a series of duly authorized and validly issued 8% Convertible Debentures issued by Expion Energy, Inc., a Nevada corporation (the “</w:t>
      </w:r>
      <w:r>
        <w:rPr>
          <w:rFonts w:ascii="Times New Roman;Times;Serif" w:hAnsi="Times New Roman;Times;Serif"/>
          <w:sz w:val="20"/>
          <w:u w:val="single"/>
        </w:rPr>
        <w:t>Company</w:t>
      </w:r>
      <w:r>
        <w:rPr>
          <w:rFonts w:ascii="Times New Roman;Times;Serif" w:hAnsi="Times New Roman;Times;Serif"/>
          <w:sz w:val="20"/>
        </w:rPr>
        <w:t>”), having its principal place of business at 2025 SW Deerhound Avenue, Redmond, Oregon, 97756, designated as its 8% Convertible Debenture due August 21, 2029 (this debenture, the “</w:t>
      </w:r>
      <w:r>
        <w:rPr>
          <w:rFonts w:ascii="Times New Roman;Times;Serif" w:hAnsi="Times New Roman;Times;Serif"/>
          <w:sz w:val="20"/>
          <w:u w:val="single"/>
        </w:rPr>
        <w:t>Debenture</w:t>
      </w:r>
      <w:r>
        <w:rPr>
          <w:rFonts w:ascii="Times New Roman;Times;Serif" w:hAnsi="Times New Roman;Times;Serif"/>
          <w:sz w:val="20"/>
        </w:rPr>
        <w:t>” and, collectively with the other debentures of such series, the “</w:t>
      </w:r>
      <w:r>
        <w:rPr>
          <w:rFonts w:ascii="Times New Roman;Times;Serif" w:hAnsi="Times New Roman;Times;Serif"/>
          <w:sz w:val="20"/>
          <w:u w:val="single"/>
        </w:rPr>
        <w:t>Debentures</w:t>
      </w:r>
      <w:r>
        <w:rPr>
          <w:rFonts w:ascii="Times New Roman;Times;Serif" w:hAnsi="Times New Roman;Times;Serif"/>
          <w:sz w:val="20"/>
        </w:rPr>
        <w:t>”).</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FOR VALUE RECEIVED, the Company promises to pay to [__________] or its registered assigns (the “</w:t>
      </w:r>
      <w:r>
        <w:rPr>
          <w:rFonts w:ascii="Times New Roman;Times;Serif" w:hAnsi="Times New Roman;Times;Serif"/>
          <w:sz w:val="20"/>
          <w:u w:val="single"/>
        </w:rPr>
        <w:t>Holder</w:t>
      </w:r>
      <w:r>
        <w:rPr>
          <w:rFonts w:ascii="Times New Roman;Times;Serif" w:hAnsi="Times New Roman;Times;Serif"/>
          <w:sz w:val="20"/>
        </w:rPr>
        <w:t>”), or shall have paid pursuant to the terms hereunder, the principal sum of $[__________] on August 21, 2029 (the “</w:t>
      </w:r>
      <w:r>
        <w:rPr>
          <w:rFonts w:ascii="Times New Roman;Times;Serif" w:hAnsi="Times New Roman;Times;Serif"/>
          <w:sz w:val="20"/>
          <w:u w:val="single"/>
        </w:rPr>
        <w:t>Maturity Date</w:t>
      </w:r>
      <w:r>
        <w:rPr>
          <w:rFonts w:ascii="Times New Roman;Times;Serif" w:hAnsi="Times New Roman;Times;Serif"/>
          <w:sz w:val="20"/>
        </w:rPr>
        <w:t>”) or such earlier date as this Debenture is required or permitted to be repaid as provided hereunder, and to pay interest to the Holder on the aggregate unconverted and then outstanding principal amount of this Debenture in accordance with the provisions hereof. This Debenture is subject to the following additional provisions:</w:t>
      </w:r>
    </w:p>
    <w:p>
      <w:pPr>
        <w:pStyle w:val="TextBody"/>
        <w:bidi w:val="0"/>
        <w:ind w:left="0" w:right="0" w:firstLine="720"/>
        <w:jc w:val="both"/>
        <w:rPr/>
      </w:pPr>
      <w:r>
        <w:rPr/>
        <w:t> </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1</w:t>
      </w:r>
      <w:r>
        <w:rPr>
          <w:rFonts w:ascii="Times New Roman;Times;Serif" w:hAnsi="Times New Roman;Times;Serif"/>
          <w:sz w:val="20"/>
        </w:rPr>
        <w:t>.</w:t>
        <w:tab/>
      </w:r>
      <w:r>
        <w:rPr>
          <w:rFonts w:ascii="Times New Roman;Times;Serif" w:hAnsi="Times New Roman;Times;Serif"/>
          <w:sz w:val="20"/>
          <w:u w:val="single"/>
        </w:rPr>
        <w:t>Definitions</w:t>
      </w:r>
      <w:r>
        <w:rPr>
          <w:rFonts w:ascii="Times New Roman;Times;Serif" w:hAnsi="Times New Roman;Times;Serif"/>
          <w:sz w:val="20"/>
        </w:rPr>
        <w:t>. For the purposes hereof, in addition to the terms defined elsewhere in this Debenture, (a) capitalized terms not otherwise defined herein shall have the meanings set forth in the Purchase Agreement and (b) the following terms shall have the following meanings:</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Alternate Consideration</w:t>
      </w:r>
      <w:r>
        <w:rPr>
          <w:rFonts w:ascii="Times New Roman;Times;Serif" w:hAnsi="Times New Roman;Times;Serif"/>
          <w:sz w:val="20"/>
        </w:rPr>
        <w:t>” shall have the meaning set forth in Section 5(c).</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Applicable Federal Rate</w:t>
      </w:r>
      <w:r>
        <w:rPr>
          <w:rFonts w:ascii="Times New Roman;Times;Serif" w:hAnsi="Times New Roman;Times;Serif"/>
          <w:sz w:val="20"/>
        </w:rPr>
        <w:t>” shall have the meaning ascribed to such term in Section 7872(f)(2) of the Internal Revenue Code of 1986, as amended.</w:t>
      </w:r>
    </w:p>
    <w:p>
      <w:pPr>
        <w:pStyle w:val="TextBody"/>
        <w:bidi w:val="0"/>
        <w:spacing w:before="0" w:after="283"/>
        <w:jc w:val="left"/>
        <w:rPr/>
      </w:pPr>
      <w:r>
        <w:rPr/>
        <w:t> </w:t>
      </w:r>
    </w:p>
    <w:p>
      <w:pPr>
        <w:pStyle w:val="TextBody"/>
        <w:bidi w:val="0"/>
        <w:ind w:left="720" w:right="0" w:firstLine="720"/>
        <w:jc w:val="both"/>
        <w:rPr/>
      </w:pPr>
      <w:r>
        <w:rPr/>
        <w:t>“</w:t>
      </w:r>
      <w:r>
        <w:rPr>
          <w:rFonts w:ascii="Times New Roman;Times;Serif" w:hAnsi="Times New Roman;Times;Serif"/>
          <w:sz w:val="20"/>
          <w:u w:val="single"/>
        </w:rPr>
        <w:t>Bankruptcy Event</w:t>
      </w:r>
      <w:r>
        <w:rPr>
          <w:rFonts w:ascii="Times New Roman;Times;Serif" w:hAnsi="Times New Roman;Times;Serif"/>
          <w:sz w:val="20"/>
        </w:rPr>
        <w:t>” means any of the following events: (a) the Corporation or any Significant Subsidiary (as such term is defined in Rule 1-02(w) of Regulation S-X) thereof commences a case or other proceeding under any bankruptcy, reorganization, arrangement, adjustment of debt, relief of debtors, dissolution, insolvency or liquidation or similar law of any jurisdiction relating to the Corporation or any Significant Subsidiary thereof, (b) there is commenced against the Corporation or any Significant Subsidiary thereof any such case or proceeding that is not dismissed within 60 calendar days after commencement, (c) the Corporation or any Significant Subsidiary thereof is adjudicated insolvent or bankrupt or any order of relief or other order approving any such case or proceeding is entered, (d) the Corporation or any Significant Subsidiary thereof suffers any appointment of any custodian or the like for it or any substantial part of its property that is not discharged or stayed within 60 calendar days after such appointment, (e) the Corporation or any Significant Subsidiary thereof makes a general assignment for the benefit of creditors, or (f) the Corporation or any Significant Subsidiary thereof, by any act or failure to act, expressly indicates its consent to, approval of or acquiescence in any of the foregoing or takes any corporate or other action for the purpose of effecting any of the foregoing.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C-1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Beneficial Ownership Limitation</w:t>
      </w:r>
      <w:r>
        <w:rPr>
          <w:rFonts w:ascii="Times New Roman;Times;Serif" w:hAnsi="Times New Roman;Times;Serif"/>
          <w:sz w:val="20"/>
        </w:rPr>
        <w:t>” shall have the meaning set forth in Section 4(c).</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Date</w:t>
      </w:r>
      <w:r>
        <w:rPr>
          <w:rFonts w:ascii="Times New Roman;Times;Serif" w:hAnsi="Times New Roman;Times;Serif"/>
          <w:sz w:val="20"/>
        </w:rPr>
        <w:t>” shall have the meaning ascribed to such term in Section 4(a).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Price</w:t>
      </w:r>
      <w:r>
        <w:rPr>
          <w:rFonts w:ascii="Times New Roman;Times;Serif" w:hAnsi="Times New Roman;Times;Serif"/>
          <w:sz w:val="20"/>
        </w:rPr>
        <w:t>” shall have the meaning ascribed to such term in Section 4(b).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Shares</w:t>
      </w:r>
      <w:r>
        <w:rPr>
          <w:rFonts w:ascii="Times New Roman;Times;Serif" w:hAnsi="Times New Roman;Times;Serif"/>
          <w:sz w:val="20"/>
        </w:rPr>
        <w:t>” means, collectively, the shares of Preferred Stock issuable upon conversion of this Debenture in accordance with the terms hereof.</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Debenture Register</w:t>
      </w:r>
      <w:r>
        <w:rPr>
          <w:rFonts w:ascii="Times New Roman;Times;Serif" w:hAnsi="Times New Roman;Times;Serif"/>
          <w:sz w:val="20"/>
        </w:rPr>
        <w:t>” shall have the meaning set forth in Section 2(c).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Event of Default</w:t>
      </w:r>
      <w:r>
        <w:rPr>
          <w:rFonts w:ascii="Times New Roman;Times;Serif" w:hAnsi="Times New Roman;Times;Serif"/>
          <w:sz w:val="20"/>
        </w:rPr>
        <w:t>” shall have the meaning set forth in Section 8(a).</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Fundamental Transaction</w:t>
      </w:r>
      <w:r>
        <w:rPr>
          <w:rFonts w:ascii="Times New Roman;Times;Serif" w:hAnsi="Times New Roman;Times;Serif"/>
          <w:sz w:val="20"/>
        </w:rPr>
        <w:t>” shall have the meaning set forth in Section 5(e).</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Indebtedness</w:t>
      </w:r>
      <w:r>
        <w:rPr>
          <w:rFonts w:ascii="Times New Roman;Times;Serif" w:hAnsi="Times New Roman;Times;Serif"/>
          <w:sz w:val="20"/>
        </w:rPr>
        <w:t>” means (a) any liabilities for borrowed money or amounts owed in excess of $100,000 (other than trade accounts payable incurred in the ordinary course of business) evidenced by bonds, debentures, notes, loan agreements or similar instruments, (b)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w:t>
      </w:r>
    </w:p>
    <w:p>
      <w:pPr>
        <w:pStyle w:val="TextBody"/>
        <w:bidi w:val="0"/>
        <w:spacing w:before="0" w:after="240"/>
        <w:ind w:left="720" w:right="0" w:firstLine="720"/>
        <w:jc w:val="both"/>
        <w:rPr/>
      </w:pPr>
      <w:r>
        <w:rPr/>
        <w:t>“</w:t>
      </w:r>
      <w:r>
        <w:rPr>
          <w:rFonts w:ascii="Times New Roman;Times;Serif" w:hAnsi="Times New Roman;Times;Serif"/>
          <w:sz w:val="20"/>
          <w:u w:val="single"/>
        </w:rPr>
        <w:t>Interest Payment Date</w:t>
      </w:r>
      <w:r>
        <w:rPr>
          <w:rFonts w:ascii="Times New Roman;Times;Serif" w:hAnsi="Times New Roman;Times;Serif"/>
          <w:sz w:val="20"/>
        </w:rPr>
        <w:t>” shall have the meaning set forth in Section 2(a).</w:t>
      </w:r>
    </w:p>
    <w:p>
      <w:pPr>
        <w:pStyle w:val="TextBody"/>
        <w:bidi w:val="0"/>
        <w:ind w:left="720" w:right="0" w:firstLine="720"/>
        <w:jc w:val="both"/>
        <w:rPr/>
      </w:pPr>
      <w:r>
        <w:rPr/>
        <w:t>“</w:t>
      </w:r>
      <w:r>
        <w:rPr>
          <w:rFonts w:ascii="Times New Roman;Times;Serif" w:hAnsi="Times New Roman;Times;Serif"/>
          <w:sz w:val="20"/>
          <w:u w:val="single"/>
        </w:rPr>
        <w:t>Late Fees</w:t>
      </w:r>
      <w:r>
        <w:rPr>
          <w:rFonts w:ascii="Times New Roman;Times;Serif" w:hAnsi="Times New Roman;Times;Serif"/>
          <w:sz w:val="20"/>
        </w:rPr>
        <w:t>” shall have the meaning set forth in Section 2(c).</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New York Courts</w:t>
      </w:r>
      <w:r>
        <w:rPr>
          <w:rFonts w:ascii="Times New Roman;Times;Serif" w:hAnsi="Times New Roman;Times;Serif"/>
          <w:sz w:val="20"/>
        </w:rPr>
        <w:t>” shall have the meaning set forth in Section 9(d).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Original Issue Date</w:t>
      </w:r>
      <w:r>
        <w:rPr>
          <w:rFonts w:ascii="Times New Roman;Times;Serif" w:hAnsi="Times New Roman;Times;Serif"/>
          <w:sz w:val="20"/>
        </w:rPr>
        <w:t>” means the date of the first issuance of the Debentures, regardless of the number of transfers of any Debenture and regardless of the number of instruments which may be issued to evidence such Debentures.</w:t>
      </w:r>
    </w:p>
    <w:p>
      <w:pPr>
        <w:pStyle w:val="TextBody"/>
        <w:bidi w:val="0"/>
        <w:ind w:left="720" w:right="0" w:firstLine="72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C-2 </w:t>
      </w:r>
    </w:p>
    <w:p>
      <w:pPr>
        <w:pStyle w:val="TextBody"/>
        <w:bidi w:val="0"/>
        <w:spacing w:before="0" w:after="0"/>
        <w:ind w:left="0" w:right="0" w:hanging="0"/>
        <w:jc w:val="left"/>
        <w:rPr/>
      </w:pPr>
      <w:r>
        <w:rPr/>
        <w:t> </w:t>
      </w:r>
    </w:p>
    <w:p>
      <w:pPr>
        <w:pStyle w:val="TextBody"/>
        <w:bidi w:val="0"/>
        <w:ind w:left="720" w:right="0" w:firstLine="720"/>
        <w:jc w:val="both"/>
        <w:rPr/>
      </w:pPr>
      <w:r>
        <w:rPr/>
        <w:t>“</w:t>
      </w:r>
      <w:r>
        <w:rPr>
          <w:rFonts w:ascii="Times New Roman;Times;Serif" w:hAnsi="Times New Roman;Times;Serif"/>
          <w:sz w:val="20"/>
          <w:u w:val="single"/>
        </w:rPr>
        <w:t>Permitted Indebtedness</w:t>
      </w:r>
      <w:r>
        <w:rPr>
          <w:rFonts w:ascii="Times New Roman;Times;Serif" w:hAnsi="Times New Roman;Times;Serif"/>
          <w:sz w:val="20"/>
        </w:rPr>
        <w:t xml:space="preserve">” means (a) the Indebtedness existing on the Original Issue Date and set forth on </w:t>
      </w:r>
      <w:r>
        <w:rPr>
          <w:rFonts w:ascii="Times New Roman;Times;Serif" w:hAnsi="Times New Roman;Times;Serif"/>
          <w:sz w:val="20"/>
          <w:u w:val="single"/>
        </w:rPr>
        <w:t>Schedule 3.1(bb)</w:t>
      </w:r>
      <w:r>
        <w:rPr>
          <w:rFonts w:ascii="Times New Roman;Times;Serif" w:hAnsi="Times New Roman;Times;Serif"/>
          <w:sz w:val="20"/>
        </w:rPr>
        <w:t xml:space="preserve"> attached to the Purchase Agreement and any refinancings, refundings, renewals or extensions thereof; provided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(b) Indebtedness in respect of performance bonds, bid bonds, appeal bonds, surety bonds and completion guarantees and similar obligations not in connection with money borrowed, in each case provided in the ordinary course of business, including those incurred to secure health, safety and environmental obligations in the ordinary course of business, (c) Indebtedness (i) resulting from a bank or other financial institution honoring a check, draft or similar instrument in the ordinary course of business or (ii) arising under or in connection with cash management services in the ordinary course of business, (d) Indebtedness consisting of the financing of insurance premiums payable within one (1) year, and (e) lease obligations and purchase money indebtedness incurred in connection with the acquisition of capital assets and lease obligations with respect to newly acquired or leased assets.</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Permitted Liens</w:t>
      </w:r>
      <w:r>
        <w:rPr>
          <w:rFonts w:ascii="Times New Roman;Times;Serif" w:hAnsi="Times New Roman;Times;Serif"/>
          <w:sz w:val="20"/>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(i) do not individually or in the aggregate materially detract from the value of such property or assets or materially impair the use thereof in the operation of the business of the Company, or (ii) are being contested in good faith by appropriate proceedings, which proceedings have the effect of preventing for the foreseeable future the forfeiture or sale of the property or asset subject to such Lien, (c) pledges or deposits in the ordinary course of business in connection with (i) workers’ compensation, unemployment insurance and other social security legislation, and (ii) public utility services provided to the Company, (d) deposits to secure the performance of bids, trade contracts and leases (other than Indebtedness), statutory obligations, surety and appeal bonds, performance bonds and other obligations of a like nature incurred in the ordinary course of business, (e) easements, rights-of-way, restrictions and other similar encumbrances affecting real property that, in the aggregate, are not substantial in amount, and that do not in any case materially detract from the value of the property subject thereto or materially interfere with the ordinary conduct of the business of the Company, and any zoning or similar law or right reserved to or vested in any governmental authority to control or regulate the use of any real property that does not materially interfere with the ordinary conduct of the business of the Company, (f) any interest or title of a lessor, sublessor, licensor or sublicensor under leases or licenses that are entered into in the ordinary course of business, (g) leases, licenses, subleases or sublicenses granted to others in the ordinary course of business that do not (i) interfere in any material respect with the ordinary conduct of the business of the Company, or (ii) secure any Indebtedness, Liens in favor of customs and revenue authorities arising as a matter of law to secure payment of customs duties in connection with the importation of goods in the ordinary course of business, (h) any Lien existing on any property or asset prior to the acquisition thereof by the Company or existing on any property or asset of any Person that becomes a subsidiary of the Company after the date of the Purchase Agreement prior to the time such Person becomes a subsidiary; provided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that it secures on the date of such acquisition or the date such Person becomes a subsidiary, as the case may be, and extensions, renewals and replacements thereof that do not increase the outstanding principal amount thereof, (i) Liens incurred in connection with Permitted Indebtedness under clause (a) thereunder, and (j) Liens incurred in connection with Permitted Indebtedness under clause (e) thereunder, provided that such Liens are not secured by assets of the Company other than the assets so acquired or leased.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C-3 </w:t>
      </w:r>
    </w:p>
    <w:p>
      <w:pPr>
        <w:pStyle w:val="TextBody"/>
        <w:bidi w:val="0"/>
        <w:spacing w:before="0" w:after="0"/>
        <w:ind w:left="0" w:right="0" w:hanging="0"/>
        <w:jc w:val="left"/>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Preferred Stock</w:t>
      </w:r>
      <w:r>
        <w:rPr>
          <w:rFonts w:ascii="Times New Roman;Times;Serif" w:hAnsi="Times New Roman;Times;Serif"/>
          <w:sz w:val="20"/>
        </w:rPr>
        <w:t>” means the Series A-1 8% Convertible Preferred Stock into which, subject to Shareholder Approval, this Debenture shall be converted.</w:t>
      </w:r>
    </w:p>
    <w:p>
      <w:pPr>
        <w:pStyle w:val="TextBody"/>
        <w:bidi w:val="0"/>
        <w:ind w:left="720" w:right="0" w:firstLine="720"/>
        <w:jc w:val="both"/>
        <w:rPr/>
      </w:pPr>
      <w:r>
        <w:rPr/>
        <w:t>“</w:t>
      </w:r>
      <w:r>
        <w:rPr>
          <w:rFonts w:ascii="Times New Roman;Times;Serif" w:hAnsi="Times New Roman;Times;Serif"/>
          <w:sz w:val="20"/>
          <w:u w:val="single"/>
        </w:rPr>
        <w:t>Purchase Agreement</w:t>
      </w:r>
      <w:r>
        <w:rPr>
          <w:rFonts w:ascii="Times New Roman;Times;Serif" w:hAnsi="Times New Roman;Times;Serif"/>
          <w:sz w:val="20"/>
        </w:rPr>
        <w:t>” means the Securities Purchase Agreement, dated as of August 21, 2026 among the Company and the original Holders, as amended, modified or supplemented from time to time in accordance with its terms.</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and the rules and regulations promulgated thereunder.</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Share Delivery Date</w:t>
      </w:r>
      <w:r>
        <w:rPr>
          <w:rFonts w:ascii="Times New Roman;Times;Serif" w:hAnsi="Times New Roman;Times;Serif"/>
          <w:sz w:val="20"/>
        </w:rPr>
        <w:t>” shall have the meaning set forth in Section 4(c)(ii).</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Successor Entity</w:t>
      </w:r>
      <w:r>
        <w:rPr>
          <w:rFonts w:ascii="Times New Roman;Times;Serif" w:hAnsi="Times New Roman;Times;Serif"/>
          <w:sz w:val="20"/>
        </w:rPr>
        <w:t>” shall have the meaning set forth in Section 5(c).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Day</w:t>
      </w:r>
      <w:r>
        <w:rPr>
          <w:rFonts w:ascii="Times New Roman;Times;Serif" w:hAnsi="Times New Roman;Times;Serif"/>
          <w:sz w:val="20"/>
        </w:rPr>
        <w:t>” means a day on which the principal Trading Market is open for trading.</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Market</w:t>
      </w:r>
      <w:r>
        <w:rPr>
          <w:rFonts w:ascii="Times New Roman;Times;Serif" w:hAnsi="Times New Roman;Times;Serif"/>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2</w:t>
      </w:r>
      <w:r>
        <w:rPr>
          <w:rFonts w:ascii="Times New Roman;Times;Serif" w:hAnsi="Times New Roman;Times;Serif"/>
          <w:sz w:val="20"/>
        </w:rPr>
        <w:t>.</w:t>
        <w:tab/>
      </w:r>
      <w:r>
        <w:rPr>
          <w:rFonts w:ascii="Times New Roman;Times;Serif" w:hAnsi="Times New Roman;Times;Serif"/>
          <w:sz w:val="20"/>
          <w:u w:val="single"/>
        </w:rPr>
        <w:t>Interest</w:t>
      </w:r>
      <w:r>
        <w:rPr>
          <w:rFonts w:ascii="Times New Roman;Times;Serif" w:hAnsi="Times New Roman;Times;Serif"/>
          <w:sz w:val="20"/>
        </w:rPr>
        <w:t>.</w:t>
      </w:r>
    </w:p>
    <w:p>
      <w:pPr>
        <w:pStyle w:val="TextBody"/>
        <w:bidi w:val="0"/>
        <w:ind w:left="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Payment of Interest</w:t>
      </w:r>
      <w:r>
        <w:rPr>
          <w:rFonts w:ascii="Times New Roman;Times;Serif" w:hAnsi="Times New Roman;Times;Serif"/>
          <w:sz w:val="20"/>
        </w:rPr>
        <w:t>. The Company shall pay interest to the Holder on the aggregate unconverted and then outstanding principal amount of this Debenture at the Applicable Federal Rate as of the Original Issue Date, and increasing to 8% per annum commencing on the first anniversary of the Original Issue Date, payable quarterly on January 1, April 1, July 1 and October 1, beginning on the first such date after the Original Issue Date, on the Conversion Date, and on the Maturity Date (each such date, an “</w:t>
      </w:r>
      <w:r>
        <w:rPr>
          <w:rFonts w:ascii="Times New Roman;Times;Serif" w:hAnsi="Times New Roman;Times;Serif"/>
          <w:sz w:val="20"/>
          <w:u w:val="single"/>
        </w:rPr>
        <w:t>Interest Payment Date</w:t>
      </w:r>
      <w:r>
        <w:rPr>
          <w:rFonts w:ascii="Times New Roman;Times;Serif" w:hAnsi="Times New Roman;Times;Serif"/>
          <w:sz w:val="20"/>
        </w:rPr>
        <w:t xml:space="preserve">”) (if any Interest Payment Date is not a Business Day, then the applicable payment shall be due on the next succeeding Business Day), in cash. Notwithstanding anything herein to the contrary, from and after the occurrence and during the continuance of any Event of Default, the rate of interest shall increase by 5% per annum relative to the rate being charged as of the date of the Event of Default or, if less, the highest amount permitted by </w:t>
      </w:r>
      <w:r>
        <w:rPr>
          <w:rFonts w:ascii="Times New Roman;Times;Serif" w:hAnsi="Times New Roman;Times;Serif"/>
          <w:spacing w:val="-9"/>
          <w:sz w:val="20"/>
        </w:rPr>
        <w:t>law.</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Interest Calculations</w:t>
      </w:r>
      <w:r>
        <w:rPr>
          <w:rFonts w:ascii="Times New Roman;Times;Serif" w:hAnsi="Times New Roman;Times;Serif"/>
          <w:sz w:val="20"/>
        </w:rPr>
        <w:t>. Interest shall be calculated on the basis of a 360-day year, consisting of twelve 30 calendar day periods, and shall accrue daily commencing on the Original Issue Date until payment in full of the outstanding principal, together with all accrued and unpaid interest, liquidated damages and other amounts which may become due hereunder, has been made. Interest hereunder will be paid to the Person in whose name this Debenture is registered on the records of the Company regarding registration and transfers of this Debenture (the “</w:t>
      </w:r>
      <w:r>
        <w:rPr>
          <w:rFonts w:ascii="Times New Roman;Times;Serif" w:hAnsi="Times New Roman;Times;Serif"/>
          <w:sz w:val="20"/>
          <w:u w:val="single"/>
        </w:rPr>
        <w:t>Debenture Register</w:t>
      </w:r>
      <w:r>
        <w:rPr>
          <w:rFonts w:ascii="Times New Roman;Times;Serif" w:hAnsi="Times New Roman;Times;Serif"/>
          <w:sz w:val="20"/>
        </w:rPr>
        <w:t>”).</w:t>
      </w:r>
    </w:p>
    <w:p>
      <w:pPr>
        <w:pStyle w:val="TextBody"/>
        <w:bidi w:val="0"/>
        <w:ind w:left="720" w:right="0" w:hanging="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C-4 </w:t>
      </w:r>
    </w:p>
    <w:p>
      <w:pPr>
        <w:pStyle w:val="TextBody"/>
        <w:bidi w:val="0"/>
        <w:spacing w:before="0" w:after="0"/>
        <w:ind w:left="0" w:right="0" w:hanging="0"/>
        <w:jc w:val="left"/>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Late Fee</w:t>
      </w:r>
      <w:r>
        <w:rPr>
          <w:rFonts w:ascii="Times New Roman;Times;Serif" w:hAnsi="Times New Roman;Times;Serif"/>
          <w:sz w:val="20"/>
        </w:rPr>
        <w:t>. All overdue accrued and unpaid interest to be paid hereunder shall entail a late fee at an interest rate equal to the lesser of 12% per annum or the maximum rate permitted by applicable law (the “</w:t>
      </w:r>
      <w:r>
        <w:rPr>
          <w:rFonts w:ascii="Times New Roman;Times;Serif" w:hAnsi="Times New Roman;Times;Serif"/>
          <w:sz w:val="20"/>
          <w:u w:val="single"/>
        </w:rPr>
        <w:t>Late Fees</w:t>
      </w:r>
      <w:r>
        <w:rPr>
          <w:rFonts w:ascii="Times New Roman;Times;Serif" w:hAnsi="Times New Roman;Times;Serif"/>
          <w:sz w:val="20"/>
        </w:rPr>
        <w:t>”) which shall accrue daily from the date such interest is due hereunder through and including the date of actual payment in full.</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Prepayment</w:t>
      </w:r>
      <w:r>
        <w:rPr>
          <w:rFonts w:ascii="Times New Roman;Times;Serif" w:hAnsi="Times New Roman;Times;Serif"/>
          <w:sz w:val="20"/>
        </w:rPr>
        <w:t xml:space="preserve">. Except as otherwise set forth in this Debenture, the Company may not prepay any portion of the principal amount of this Debenture without the prior written consent of the Holder. </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3.</w:t>
      </w:r>
      <w:r>
        <w:rPr>
          <w:rFonts w:ascii="Times New Roman;Times;Serif" w:hAnsi="Times New Roman;Times;Serif"/>
          <w:sz w:val="20"/>
        </w:rPr>
        <w:tab/>
      </w:r>
      <w:r>
        <w:rPr>
          <w:rFonts w:ascii="Times New Roman;Times;Serif" w:hAnsi="Times New Roman;Times;Serif"/>
          <w:sz w:val="20"/>
          <w:u w:val="single"/>
        </w:rPr>
        <w:t>Registration of Transfers and Exchanges</w:t>
      </w:r>
      <w:r>
        <w:rPr>
          <w:rFonts w:ascii="Times New Roman;Times;Serif" w:hAnsi="Times New Roman;Times;Serif"/>
          <w:sz w:val="20"/>
        </w:rPr>
        <w: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Different Denominations</w:t>
      </w:r>
      <w:r>
        <w:rPr>
          <w:rFonts w:ascii="Times New Roman;Times;Serif" w:hAnsi="Times New Roman;Times;Serif"/>
          <w:sz w:val="20"/>
        </w:rPr>
        <w:t>. This Debenture is exchangeable for an equal aggregate principal amount of Debentures of different authorized denominations, as requested by the Holder surrendering the same. No service charge will be payable for such registration of transfer or exchange.</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Investment Representations</w:t>
      </w:r>
      <w:r>
        <w:rPr>
          <w:rFonts w:ascii="Times New Roman;Times;Serif" w:hAnsi="Times New Roman;Times;Serif"/>
          <w:sz w:val="20"/>
        </w:rPr>
        <w:t xml:space="preserve">. This Debenture has been issued subject to certain investment representations of the original Holder set forth in the Purchase Agreement and may be transferred or exchanged only in compliance with the Purchase Agreement and applicable federal and state securities laws and regulations. </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Reliance on Debenture Register</w:t>
      </w:r>
      <w:r>
        <w:rPr>
          <w:rFonts w:ascii="Times New Roman;Times;Serif" w:hAnsi="Times New Roman;Times;Serif"/>
          <w:sz w:val="20"/>
        </w:rPr>
        <w:t>. Prior to due presentment for transfer to the Company of this Debenture, the Company and any agent of the Company may treat the Person in whose name this Debenture is duly registered on the Debenture Register as the owner hereof for the purpose of receiving payment as herein provided and for all other purposes, whether or not this Debenture is overdue, and neither the Company nor any such agent shall be affected by notice to the contrary.</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4.</w:t>
      </w:r>
      <w:r>
        <w:rPr>
          <w:rFonts w:ascii="Times New Roman;Times;Serif" w:hAnsi="Times New Roman;Times;Serif"/>
          <w:sz w:val="20"/>
        </w:rPr>
        <w:tab/>
      </w:r>
      <w:r>
        <w:rPr>
          <w:rFonts w:ascii="Times New Roman;Times;Serif" w:hAnsi="Times New Roman;Times;Serif"/>
          <w:sz w:val="20"/>
          <w:u w:val="single"/>
        </w:rPr>
        <w:t>Conversion</w:t>
      </w:r>
      <w:r>
        <w:rPr>
          <w:rFonts w:ascii="Times New Roman;Times;Serif" w:hAnsi="Times New Roman;Times;Serif"/>
          <w:sz w:val="20"/>
        </w:rPr>
        <w: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Automatic Conversion</w:t>
      </w:r>
      <w:r>
        <w:rPr>
          <w:rFonts w:ascii="Times New Roman;Times;Serif" w:hAnsi="Times New Roman;Times;Serif"/>
          <w:sz w:val="20"/>
        </w:rPr>
        <w:t>. Upon the Company’s receipt of Shareholder Approval and the filing of the Certificate of Designation with the Nevada Secretary of State, the full principal amount of this Debenture shall automatically be converted into shares of Preferred Stock (such date, the “</w:t>
      </w:r>
      <w:r>
        <w:rPr>
          <w:rFonts w:ascii="Times New Roman;Times;Serif" w:hAnsi="Times New Roman;Times;Serif"/>
          <w:sz w:val="20"/>
          <w:u w:val="single"/>
        </w:rPr>
        <w:t>Conversion Date</w:t>
      </w:r>
      <w:r>
        <w:rPr>
          <w:rFonts w:ascii="Times New Roman;Times;Serif" w:hAnsi="Times New Roman;Times;Serif"/>
          <w:sz w:val="20"/>
        </w:rPr>
        <w:t xml:space="preserve">”). The Holder shall surrender this Debenture to the Company at the address designated in the Purchase Agreement as promptly as is reasonably practicable after such conversion without delaying the Company’s obligation to deliver the Preferred Stock. The Company shall pay all accrued and unpaid interest on this Debenture as of the Conversion Date to the Holder in cash. </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Conversion Price</w:t>
      </w:r>
      <w:r>
        <w:rPr>
          <w:rFonts w:ascii="Times New Roman;Times;Serif" w:hAnsi="Times New Roman;Times;Serif"/>
          <w:sz w:val="20"/>
        </w:rPr>
        <w:t>. The conversion price shall be equal to $1,000 per share of Preferred Stock, subject to adjustment herein (the “</w:t>
      </w:r>
      <w:r>
        <w:rPr>
          <w:rFonts w:ascii="Times New Roman;Times;Serif" w:hAnsi="Times New Roman;Times;Serif"/>
          <w:sz w:val="20"/>
          <w:u w:val="single"/>
        </w:rPr>
        <w:t>Conversion Price</w:t>
      </w:r>
      <w:r>
        <w:rPr>
          <w:rFonts w:ascii="Times New Roman;Times;Serif" w:hAnsi="Times New Roman;Times;Serif"/>
          <w:sz w:val="20"/>
        </w:rPr>
        <w:t>”).</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Mechanics of Conversion</w:t>
      </w:r>
      <w:r>
        <w:rPr>
          <w:rFonts w:ascii="Times New Roman;Times;Serif" w:hAnsi="Times New Roman;Times;Serif"/>
          <w:sz w:val="20"/>
        </w:rPr>
        <w:t>.</w:t>
      </w:r>
    </w:p>
    <w:p>
      <w:pPr>
        <w:pStyle w:val="TextBody"/>
        <w:bidi w:val="0"/>
        <w:ind w:left="1440" w:right="0" w:firstLine="72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Conversion Shares Issuable Upon Conversion of Principal Amount</w:t>
      </w:r>
      <w:r>
        <w:rPr>
          <w:rFonts w:ascii="Times New Roman;Times;Serif" w:hAnsi="Times New Roman;Times;Serif"/>
          <w:sz w:val="20"/>
        </w:rPr>
        <w:t>. The number of Preferred Shares issuable upon a conversion hereunder shall be determined by the quotient obtained by dividing (x) the outstanding principal amount of this Debenture to be converted by (y) the Conversion Price.</w:t>
      </w:r>
    </w:p>
    <w:p>
      <w:pPr>
        <w:pStyle w:val="TextBody"/>
        <w:bidi w:val="0"/>
        <w:ind w:left="2160" w:right="0" w:hanging="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C-5 </w:t>
      </w:r>
    </w:p>
    <w:p>
      <w:pPr>
        <w:pStyle w:val="TextBody"/>
        <w:bidi w:val="0"/>
        <w:spacing w:before="0" w:after="0"/>
        <w:ind w:left="0" w:right="0" w:hanging="0"/>
        <w:jc w:val="left"/>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ii.                      </w:t>
      </w:r>
      <w:r>
        <w:rPr>
          <w:rFonts w:ascii="Times New Roman;Times;Serif" w:hAnsi="Times New Roman;Times;Serif"/>
          <w:sz w:val="20"/>
          <w:u w:val="single"/>
        </w:rPr>
        <w:t>Delivery of Conversion Shares Upon Conversion</w:t>
      </w:r>
      <w:r>
        <w:rPr>
          <w:rFonts w:ascii="Times New Roman;Times;Serif" w:hAnsi="Times New Roman;Times;Serif"/>
          <w:sz w:val="20"/>
        </w:rPr>
        <w:t>. Not later than two (2) Trading Days after the Conversion Date (the “</w:t>
      </w:r>
      <w:r>
        <w:rPr>
          <w:rFonts w:ascii="Times New Roman;Times;Serif" w:hAnsi="Times New Roman;Times;Serif"/>
          <w:sz w:val="20"/>
          <w:u w:val="single"/>
        </w:rPr>
        <w:t>Share Delivery Date</w:t>
      </w:r>
      <w:r>
        <w:rPr>
          <w:rFonts w:ascii="Times New Roman;Times;Serif" w:hAnsi="Times New Roman;Times;Serif"/>
          <w:sz w:val="20"/>
        </w:rPr>
        <w:t>”), the Company shall deliver, or cause to be delivered, to the Holder the Conversion Shares.</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iii.                     </w:t>
      </w:r>
      <w:r>
        <w:rPr>
          <w:rFonts w:ascii="Times New Roman;Times;Serif" w:hAnsi="Times New Roman;Times;Serif"/>
          <w:sz w:val="20"/>
          <w:u w:val="single"/>
        </w:rPr>
        <w:t>Reserved</w:t>
      </w:r>
      <w:r>
        <w:rPr>
          <w:rFonts w:ascii="Times New Roman;Times;Serif" w:hAnsi="Times New Roman;Times;Serif"/>
          <w:sz w:val="20"/>
        </w:rPr>
        <w:t xml:space="preserve">. </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iv.                     </w:t>
      </w:r>
      <w:r>
        <w:rPr>
          <w:rFonts w:ascii="Times New Roman;Times;Serif" w:hAnsi="Times New Roman;Times;Serif"/>
          <w:sz w:val="20"/>
          <w:u w:val="single"/>
        </w:rPr>
        <w:t>Obligation Absolute</w:t>
      </w:r>
      <w:r>
        <w:rPr>
          <w:rFonts w:ascii="Times New Roman;Times;Serif" w:hAnsi="Times New Roman;Times;Serif"/>
          <w:sz w:val="20"/>
        </w:rPr>
        <w:t>. The Company’s obligations to issue and deliver the Conversion Shares upon conversion of this Debenture in accordance with the terms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which might otherwise limit such obligation of the Company to the Holder in connection with the issuance of such Conversion Shares; provided, however, that such delivery shall not operate as a waiver by the Company of any such action the Company may have against the Holder. The Company may not refuse conversion of this Debenture based on any claim that the Holder or anyone associated or affiliated with the Holder has been engaged in any violation of law, agreement or for any other reason, unless an injunction from a court, on notice to Holder, restraining and or enjoining conversion of all or part of this Debenture shall have been sought and obtained. In the absence of such injunction, the Company shall issue Conversion Shares and, if applicable, cash, upon a properly noticed conversion. Nothing herein shall limit a Holder’s right to pursue actual damages or declare an Event of Default for the Company’s failure to deliver Conversion Shares within the period specified herein and the Holder shall have the right to pursue all remedies available to it hereunder, at law or in equity including, without limitation, a decree of specific performance and/or injunctive relief. The exercise of any such rights shall not prohibit the Holder from seeking to enforce damages pursuant to any other Section hereof or under applicable law.</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                       </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vi.                      </w:t>
      </w:r>
      <w:r>
        <w:rPr>
          <w:rFonts w:ascii="Times New Roman;Times;Serif" w:hAnsi="Times New Roman;Times;Serif"/>
          <w:sz w:val="20"/>
          <w:u w:val="single"/>
        </w:rPr>
        <w:t>Reservation of Shares Issuable Upon Conversion</w:t>
      </w:r>
      <w:r>
        <w:rPr>
          <w:rFonts w:ascii="Times New Roman;Times;Serif" w:hAnsi="Times New Roman;Times;Serif"/>
          <w:sz w:val="20"/>
        </w:rPr>
        <w:t>. The Company covenants that it will reserve and keep available out of its duly authorized and unissued shares of Preferred Stock, for the sole purpose of issuance upon conversion of this Debenture, each as herein provided, free from preemptive rights or any other actual contingent purchase rights of Persons other than the Holder (and the other holders of the Debentures), the maximum number of shares of Preferred Stock then available for such purpose and, from and after the date on which the Company has a sufficient number of authorized and unissued shares of Preferred Stock available therefor, including following receipt of the Shareholder Approval (as defined in the Purchase Agreement) and the effectiveness of any related amendment to the Company’s articles of incorporation, not less than such aggregate number of shares of Preferred Stock as shall be issuable (taking into account the adjustments and restrictions of Section 5) upon the conversion of the then outstanding principal amount of this Debenture. If at any time the Company does not have a sufficient number of authorized and unissued shares of Preferred Stock available to reserve the number of shares required by the preceding sentence, the Company shall use commercially reasonable efforts to obtain the Shareholder Approval and take such other corporate action as may be necessary to increase its authorized shares of Preferred Stock or otherwise make available a sufficient number of shares of Preferred Stock for such purpose, in each case subject to the terms and conditions set forth in Section 4.11 of the Purchase Agreement.  The Company covenants that all shares of Preferred Stock that shall be so issuable shall, upon issue, be duly authorized, validly issued, fully paid and nonassessable.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C-6 </w:t>
      </w:r>
    </w:p>
    <w:p>
      <w:pPr>
        <w:pStyle w:val="TextBody"/>
        <w:bidi w:val="0"/>
        <w:spacing w:before="0" w:after="0"/>
        <w:ind w:left="0" w:right="0" w:hanging="0"/>
        <w:jc w:val="left"/>
        <w:rPr/>
      </w:pPr>
      <w:r>
        <w:rPr/>
        <w:t> </w:t>
      </w:r>
    </w:p>
    <w:p>
      <w:pPr>
        <w:pStyle w:val="TextBody"/>
        <w:bidi w:val="0"/>
        <w:ind w:left="144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vii.                     </w:t>
      </w:r>
      <w:r>
        <w:rPr>
          <w:rFonts w:ascii="Times New Roman;Times;Serif" w:hAnsi="Times New Roman;Times;Serif"/>
          <w:sz w:val="20"/>
          <w:u w:val="single"/>
        </w:rPr>
        <w:t>Fractional Shares</w:t>
      </w:r>
      <w:r>
        <w:rPr>
          <w:rFonts w:ascii="Times New Roman;Times;Serif" w:hAnsi="Times New Roman;Times;Serif"/>
          <w:sz w:val="20"/>
        </w:rPr>
        <w:t>. No fractional shares or scrip representing fractional shares shall be issued upon the conversion of this Debenture. As to any fraction of a share which the Holder would otherwise be entitled to purchase upon such conversion, the Company shall round the number of Conversion Shares up to the next whole share.</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viii.                    </w:t>
      </w:r>
      <w:r>
        <w:rPr>
          <w:rFonts w:ascii="Times New Roman;Times;Serif" w:hAnsi="Times New Roman;Times;Serif"/>
          <w:sz w:val="20"/>
          <w:u w:val="single"/>
        </w:rPr>
        <w:t>Transfer Taxes and Expenses</w:t>
      </w:r>
      <w:r>
        <w:rPr>
          <w:rFonts w:ascii="Times New Roman;Times;Serif" w:hAnsi="Times New Roman;Times;Serif"/>
          <w:sz w:val="20"/>
        </w:rPr>
        <w:t>. The issuance of Conversion Shares on conversion of this Debenture shall be made without charge to the Holder hereof for any documentary stamp or similar taxes that may be payable in respect of the issue or delivery of such Conversion Shares, provided that the Company shall not be required to pay any tax that may be payable in respect of any transfer involved in the issuance and delivery of any such Conversion Shares upon conversion in a name other than that of the Holder of this Debenture so converted and the Company shall not be required to issue or deliver such Conversion Shares unless or until the Person or Persons requesting the issuance thereof shall have paid to the Company the amount of such tax or shall have established to the satisfaction of the Company that such tax has been paid. The Company shall pay all Transfer Agent fees required for processing of the Conversion.</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ix.                       </w:t>
      </w:r>
      <w:r>
        <w:rPr>
          <w:rFonts w:ascii="Times New Roman;Times;Serif" w:hAnsi="Times New Roman;Times;Serif"/>
          <w:sz w:val="20"/>
          <w:u w:val="single"/>
        </w:rPr>
        <w:t>Holder’s Conversion Limitations</w:t>
      </w:r>
      <w:r>
        <w:rPr>
          <w:rFonts w:ascii="Times New Roman;Times;Serif" w:hAnsi="Times New Roman;Times;Serif"/>
          <w:sz w:val="20"/>
        </w:rPr>
        <w:t>. The Company shall not effect any conversion of this Debenture, and a Holder shall not have the right to convert any portion of this Debenture, to the extent that after giving effect to the Conversion, the Holder (together with the Holder’s Affiliates, and any other Persons acting as a group together with such Holder or any of such Holder’s Affiliates (such Persons, “</w:t>
      </w:r>
      <w:r>
        <w:rPr>
          <w:rFonts w:ascii="Times New Roman;Times;Serif" w:hAnsi="Times New Roman;Times;Serif"/>
          <w:sz w:val="20"/>
          <w:u w:val="single"/>
        </w:rPr>
        <w:t>Attribution Parties</w:t>
      </w:r>
      <w:r>
        <w:rPr>
          <w:rFonts w:ascii="Times New Roman;Times;Serif" w:hAnsi="Times New Roman;Times;Serif"/>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conversion of the Preferred Stock issuable upon conversion of this Debenture with respect to which such determination is being made, but shall exclude the number of shares of Common Stock which would be issuable upon (i) conversion of the remaining, unconverted shares of Preferred Stock issued upon conversion of this Debenture beneficially owned or to be owned by the Holder or any of its Affiliates or Attribution Parties and (ii) exercise or conversion of the unexercised or unconverted portion of any other securities of the Company subject to a limitation on conversion or exercise analogous to the limitation contained herein (including, without limitation, any other Debentures, the Preferred Stock or the Warrants) beneficially owned by the Holder or any of its Affiliates or Attribution Parties.  Except as set forth in the preceding sentence, for purposes of this Section 4(c), beneficial ownership shall be calculated in accordance with Section 13(d) of the Exchange Act and the rules and regulations promulgated thereunder. To the extent that the limitation contained in this Section 4(c) applies, the determination of whether this Debenture is convertible (in relation to other securities owned by the Holder together with any Affiliates and Attribution Parties) and of what portion of the principal amount of this Debenture is convertible shall be in the sole discretion of the Holder,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4(c), in determining the number of outstanding shares of Common Stock, the Holder may rely on the number of outstanding shares of Common Stock as stated in the following: (A) the Company’s most recent periodic or annual report filed with the Commission, as the case may be, (B) a more recent public announcement by the Company, or (C) a more recent written notice by the Company or the Company’s transfer agent setting forth the number of shares of Common Stock outstanding.  Upon the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the conversion of this Debenture into Preferred Stock and the exercise of the Warrants, by such Holder or its Affiliates or Attribution Parties since the date as of which such number of outstanding shares of Common Stock was reported. The “</w:t>
      </w:r>
      <w:r>
        <w:rPr>
          <w:rFonts w:ascii="Times New Roman;Times;Serif" w:hAnsi="Times New Roman;Times;Serif"/>
          <w:sz w:val="20"/>
          <w:u w:val="single"/>
        </w:rPr>
        <w:t>Beneficial Ownership Limitation</w:t>
      </w:r>
      <w:r>
        <w:rPr>
          <w:rFonts w:ascii="Times New Roman;Times;Serif" w:hAnsi="Times New Roman;Times;Serif"/>
          <w:sz w:val="20"/>
        </w:rPr>
        <w:t xml:space="preserve">” shall be 9.99% of the number of shares of the Common Stock outstanding immediately after giving effect to the issuance of shares of Common Stock issuable upon conversion of the shares of Preferred Stock issuable upon conversion of this Debenture. In the event that the potential issuance of shares of Common Stock to the Holder upon conversion of this Debenture into Preferred Stock results in the Holder together with any Affiliates and Attribution Parties being deemed to beneficially own, in the aggregate, a number of outstanding shares of Common Stock in excess of the Beneficial Ownership Limitation, the number of shares </w:t>
      </w:r>
      <w:r>
        <w:rPr>
          <w:rFonts w:ascii="Times New Roman;Times;Serif" w:hAnsi="Times New Roman;Times;Serif"/>
          <w:spacing w:val="-9"/>
          <w:sz w:val="20"/>
        </w:rPr>
        <w:t xml:space="preserve">of Common Stock </w:t>
      </w:r>
      <w:r>
        <w:rPr>
          <w:rFonts w:ascii="Times New Roman;Times;Serif" w:hAnsi="Times New Roman;Times;Serif"/>
          <w:sz w:val="20"/>
        </w:rPr>
        <w:t xml:space="preserve">so issued </w:t>
      </w:r>
      <w:r>
        <w:rPr>
          <w:rFonts w:ascii="Times New Roman;Times;Serif" w:hAnsi="Times New Roman;Times;Serif"/>
          <w:spacing w:val="-10"/>
          <w:sz w:val="20"/>
        </w:rPr>
        <w:t xml:space="preserve">or issuable </w:t>
      </w:r>
      <w:r>
        <w:rPr>
          <w:rFonts w:ascii="Times New Roman;Times;Serif" w:hAnsi="Times New Roman;Times;Serif"/>
          <w:sz w:val="20"/>
        </w:rPr>
        <w:t>by which the Holder’s together with any of its Affiliates’ and Attribution Parties’ aggregate beneficial ownership of shares of Common Stock exceeds the Beneficial Ownership Limitation (the “</w:t>
      </w:r>
      <w:r>
        <w:rPr>
          <w:rFonts w:ascii="Times New Roman;Times;Serif" w:hAnsi="Times New Roman;Times;Serif"/>
          <w:sz w:val="20"/>
          <w:u w:val="single"/>
        </w:rPr>
        <w:t>Excess Shares</w:t>
      </w:r>
      <w:r>
        <w:rPr>
          <w:rFonts w:ascii="Times New Roman;Times;Serif" w:hAnsi="Times New Roman;Times;Serif"/>
          <w:sz w:val="20"/>
        </w:rPr>
        <w:t>”) shall be deemed null and void and shall be cancelled ab initio, and the Holder shall not have the power to vote or to transfer the Excess Shares. The Holder, upon notice to the Company, may increase or decrease the Beneficial Ownership Limitation provisions of this Section 4(c) provided that the Beneficial Ownership Limitation in no event exceeds 9.99% of the number of shares of the Common Stock outstanding immediately after giving effect to the issuance of shares of Preferred Stock upon conversion of this Debenture, or the issuance of shares of Common Stock upon conversion of the Preferred Stock, held by the Holder and the Beneficial Ownership Limitation provisions of this Section 4(c) shall continue to apply. Any increase in the Beneficial Ownership Limitation will not be effective until the 61</w:t>
      </w:r>
      <w:r>
        <w:rPr>
          <w:rFonts w:ascii="Times New Roman;Times;Serif" w:hAnsi="Times New Roman;Times;Serif"/>
          <w:position w:val="7"/>
          <w:sz w:val="16"/>
          <w:sz w:val="20"/>
        </w:rPr>
        <w:t>st</w:t>
      </w:r>
      <w:r>
        <w:rPr>
          <w:rFonts w:ascii="Times New Roman;Times;Serif" w:hAnsi="Times New Roman;Times;Serif"/>
          <w:sz w:val="20"/>
        </w:rPr>
        <w:t xml:space="preserve"> day after such notice is delivered to the Company. The provisions of this paragraph shall be construed and implemented in a manner otherwise than in strict conformity with the terms of this Section 4(c)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Debenture.</w:t>
      </w:r>
    </w:p>
    <w:p>
      <w:pPr>
        <w:pStyle w:val="TextBody"/>
        <w:bidi w:val="0"/>
        <w:ind w:left="1440" w:right="0" w:hanging="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C-7 </w:t>
      </w:r>
    </w:p>
    <w:p>
      <w:pPr>
        <w:pStyle w:val="TextBody"/>
        <w:bidi w:val="0"/>
        <w:spacing w:before="0" w:after="0"/>
        <w:ind w:left="0" w:right="0" w:hanging="0"/>
        <w:jc w:val="left"/>
        <w:rPr/>
      </w:pPr>
      <w:r>
        <w:rPr/>
        <w:t> </w:t>
      </w:r>
    </w:p>
    <w:p>
      <w:pPr>
        <w:pStyle w:val="TextBody"/>
        <w:bidi w:val="0"/>
        <w:ind w:left="720" w:right="0" w:hanging="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5</w:t>
      </w:r>
      <w:r>
        <w:rPr>
          <w:rFonts w:ascii="Times New Roman;Times;Serif" w:hAnsi="Times New Roman;Times;Serif"/>
          <w:sz w:val="20"/>
        </w:rPr>
        <w:t>.</w:t>
        <w:tab/>
      </w:r>
      <w:r>
        <w:rPr>
          <w:rFonts w:ascii="Times New Roman;Times;Serif" w:hAnsi="Times New Roman;Times;Serif"/>
          <w:sz w:val="20"/>
          <w:u w:val="single"/>
        </w:rPr>
        <w:t>Certain Adjustments</w:t>
      </w:r>
      <w:r>
        <w:rPr>
          <w:rFonts w:ascii="Times New Roman;Times;Serif" w:hAnsi="Times New Roman;Times;Serif"/>
          <w:sz w:val="20"/>
        </w:rPr>
        <w:t>. Until this Debenture has been paid or converted in full, the Conversion Price shall be subject to adjustment from time-to-time as follows:</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Subsequent Rights Offerings</w:t>
      </w:r>
      <w:r>
        <w:rPr>
          <w:rFonts w:ascii="Times New Roman;Times;Serif" w:hAnsi="Times New Roman;Times;Serif"/>
          <w:sz w:val="20"/>
        </w:rPr>
        <w:t>. If at any time while this Debenture remains outstanding, the Company grants, issues or sells any Common Stock Equivalents or rights to purchase stock, warrants, securities or other property pro rata to all or substantially all of the record holders of any class of shares of Common Stock (the “</w:t>
      </w:r>
      <w:r>
        <w:rPr>
          <w:rFonts w:ascii="Times New Roman;Times;Serif" w:hAnsi="Times New Roman;Times;Serif"/>
          <w:sz w:val="20"/>
          <w:u w:val="single"/>
        </w:rPr>
        <w:t>Purchase Rights</w:t>
      </w:r>
      <w:r>
        <w:rPr>
          <w:rFonts w:ascii="Times New Roman;Times;Serif" w:hAnsi="Times New Roman;Times;Serif"/>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the shares of Preferred Stock into which this Debenture is convertible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Pro Rata Distributions</w:t>
      </w:r>
      <w:r>
        <w:rPr>
          <w:rFonts w:ascii="Times New Roman;Times;Serif" w:hAnsi="Times New Roman;Times;Serif"/>
          <w:sz w:val="20"/>
        </w:rPr>
        <w:t>. If, at any time while this Debenture remains outstanding, the Company declares or makes any dividend or other distribution of its assets (or rights to acquire its assets) to all or substantially all of the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sz w:val="20"/>
          <w:u w:val="single"/>
        </w:rPr>
        <w:t>Distribution</w:t>
      </w:r>
      <w:r>
        <w:rPr>
          <w:rFonts w:ascii="Times New Roman;Times;Serif" w:hAnsi="Times New Roman;Times;Serif"/>
          <w:sz w:val="20"/>
        </w:rPr>
        <w:t>”), at any time after the issuance of this Debenture, then, in each such case, the Holder shall be entitled to participate in such Distribution to the same extent that the Holder would have participated therein if the Holder had held the number of shares of Common Stock acquirable upon complete conversion of the shares of Preferred Stock into which this Debenture is convertible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ind w:left="720" w:right="0" w:hanging="0"/>
        <w:jc w:val="both"/>
        <w:rPr/>
      </w:pPr>
      <w:r>
        <w:rPr/>
        <w:t> </w:t>
      </w:r>
    </w:p>
    <w:p>
      <w:pPr>
        <w:pStyle w:val="TextBody"/>
        <w:bidi w:val="0"/>
        <w:ind w:left="720" w:right="0" w:firstLine="720"/>
        <w:jc w:val="both"/>
        <w:rPr/>
      </w:pPr>
      <w:r>
        <w:rPr>
          <w:rFonts w:ascii="Times New Roman;Times;Serif" w:hAnsi="Times New Roman;Times;Serif"/>
          <w:sz w:val="20"/>
        </w:rPr>
        <w:t xml:space="preserve">c)                   </w:t>
      </w:r>
      <w:r>
        <w:rPr>
          <w:rFonts w:ascii="Times New Roman;Times;Serif" w:hAnsi="Times New Roman;Times;Serif"/>
          <w:sz w:val="20"/>
          <w:u w:val="single"/>
        </w:rPr>
        <w:t>Fundamental Transaction</w:t>
      </w:r>
      <w:r>
        <w:rPr>
          <w:rFonts w:ascii="Times New Roman;Times;Serif" w:hAnsi="Times New Roman;Times;Serif"/>
          <w:sz w:val="20"/>
        </w:rPr>
        <w:t>. If, at any time while this Debenture remains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(each a “</w:t>
      </w:r>
      <w:r>
        <w:rPr>
          <w:rFonts w:ascii="Times New Roman;Times;Serif" w:hAnsi="Times New Roman;Times;Serif"/>
          <w:sz w:val="20"/>
          <w:u w:val="single"/>
        </w:rPr>
        <w:t>Fundamental Transaction</w:t>
      </w:r>
      <w:r>
        <w:rPr>
          <w:rFonts w:ascii="Times New Roman;Times;Serif" w:hAnsi="Times New Roman;Times;Serif"/>
          <w:sz w:val="20"/>
        </w:rPr>
        <w:t>”), then, upon any subsequent conversion of this Debenture, the Holder shall have the right to receive, for each Conversion Shares that would have been issuable upon such conversion immediately prior to the occurrence of such Fundamental Transaction (without regard to any limitation in Section 4(c) on the conversion of this Debenture), the number of shares of Common Stock of the successor or acquiring corporation or of the Company, if it is the surviving corporation, and any additional consideration (the “</w:t>
      </w:r>
      <w:r>
        <w:rPr>
          <w:rFonts w:ascii="Times New Roman;Times;Serif" w:hAnsi="Times New Roman;Times;Serif"/>
          <w:sz w:val="20"/>
          <w:u w:val="single"/>
        </w:rPr>
        <w:t>Alternate Consideration</w:t>
      </w:r>
      <w:r>
        <w:rPr>
          <w:rFonts w:ascii="Times New Roman;Times;Serif" w:hAnsi="Times New Roman;Times;Serif"/>
          <w:sz w:val="20"/>
        </w:rPr>
        <w:t>”) receivable as a result of such Fundamental Transaction by a holder of the number of shares of Common Stock issuable upon conversion of the Preferreed Stock into which this Debenture is convertible immediately prior to such Fundamental Transaction (without regard to any limitation in Section 4(c) on the conversion of this Debenture).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Company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Debenture following such Fundamental Transaction. The Company shall cause any successor entity in a Fundamental Transaction in which the Company is not the survivor (the “</w:t>
      </w:r>
      <w:r>
        <w:rPr>
          <w:rFonts w:ascii="Times New Roman;Times;Serif" w:hAnsi="Times New Roman;Times;Serif"/>
          <w:sz w:val="20"/>
          <w:u w:val="single"/>
        </w:rPr>
        <w:t>Successor Entity</w:t>
      </w:r>
      <w:r>
        <w:rPr>
          <w:rFonts w:ascii="Times New Roman;Times;Serif" w:hAnsi="Times New Roman;Times;Serif"/>
          <w:sz w:val="20"/>
        </w:rPr>
        <w:t xml:space="preserve">”) to assume in writing all of the obligations of the Company under this Debenture and the other Transaction Documents (as defined in the Purchase Agreement) in accordance with the provisions of this Section 5(c) pursuant to written agreements in form and substance reasonably satisfactory to the Holder and approved by the Holder (without unreasonable delay) prior to such Fundamental Transaction and shall, at the option of the holder of this Debenture, deliver to the Holder in exchange for this Debenture a security of the Successor Entity evidenced by a written instrument substantially similar in form and substance to this Debenture which is convertible for a corresponding number of shares of capital stock of such Successor Entity (or its parent entity) equivalent to the shares of Common Stock acquirable and receivable upon conversion of this Debenture (without regard to any limitations on the conversion of this Debenture)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Debenture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w:t>
      </w:r>
      <w:r>
        <w:rPr>
          <w:sz w:val="20"/>
        </w:rPr>
        <w:t>Fundamental Transaction, the provisions of this Debenture and the other Transaction Documents referring to the “Company” shall refer instead to the Successor Entity), and may exercise every right and power of the Company and shall assume all of the obligations of the Company under this Debenture and the other Transaction Documents with the same effect as if such Successor Entity had been named as the Company herein.</w:t>
      </w:r>
    </w:p>
    <w:p>
      <w:pPr>
        <w:pStyle w:val="TextBody"/>
        <w:bidi w:val="0"/>
        <w:jc w:val="both"/>
        <w:rPr/>
      </w:pPr>
      <w:r>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C-8 </w:t>
      </w:r>
    </w:p>
    <w:p>
      <w:pPr>
        <w:pStyle w:val="TextBody"/>
        <w:bidi w:val="0"/>
        <w:spacing w:before="0" w:after="0"/>
        <w:ind w:left="0" w:right="0" w:hanging="0"/>
        <w:jc w:val="left"/>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Notice to the Holder</w:t>
      </w:r>
      <w:r>
        <w:rPr>
          <w:rFonts w:ascii="Times New Roman;Times;Serif" w:hAnsi="Times New Roman;Times;Serif"/>
          <w:sz w:val="20"/>
        </w:rPr>
        <w:t>.</w:t>
      </w:r>
    </w:p>
    <w:p>
      <w:pPr>
        <w:pStyle w:val="TextBody"/>
        <w:bidi w:val="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Adjustment to Conversion Price</w:t>
      </w:r>
      <w:r>
        <w:rPr>
          <w:rFonts w:ascii="Times New Roman;Times;Serif" w:hAnsi="Times New Roman;Times;Serif"/>
          <w:sz w:val="20"/>
        </w:rPr>
        <w:t xml:space="preserve">. Whenever the Conversion Price is adjusted pursuant to any provision of this Section 5, the Company shall promptly deliver to each Holder a notice setting forth the Conversion Price after such adjustment and setting forth a brief statement of the facts requiring such adjustment. </w:t>
      </w:r>
    </w:p>
    <w:p>
      <w:pPr>
        <w:pStyle w:val="TextBody"/>
        <w:bidi w:val="0"/>
        <w:ind w:left="1440" w:right="0" w:firstLine="72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Notice to Allow Conversion by Holder</w:t>
      </w:r>
      <w:r>
        <w:rPr>
          <w:rFonts w:ascii="Times New Roman;Times;Serif" w:hAnsi="Times New Roman;Times;Serif"/>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of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filed at each office or agency maintained for the purpose of conversion of this Debenture, and shall cause to be delivered to the Holder at its last address as it shall appear upon the Debenture Register,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w:t>
      </w:r>
    </w:p>
    <w:p>
      <w:pPr>
        <w:pStyle w:val="TextBody"/>
        <w:bidi w:val="0"/>
        <w:ind w:left="1440" w:right="0" w:firstLine="72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6</w:t>
      </w:r>
      <w:r>
        <w:rPr>
          <w:rFonts w:ascii="Times New Roman;Times;Serif" w:hAnsi="Times New Roman;Times;Serif"/>
          <w:sz w:val="20"/>
        </w:rPr>
        <w:t>.</w:t>
        <w:tab/>
      </w:r>
      <w:r>
        <w:rPr>
          <w:rFonts w:ascii="Times New Roman;Times;Serif" w:hAnsi="Times New Roman;Times;Serif"/>
          <w:sz w:val="20"/>
          <w:u w:val="single"/>
        </w:rPr>
        <w:t>Reserved</w:t>
      </w:r>
      <w:r>
        <w:rPr>
          <w:rFonts w:ascii="Times New Roman;Times;Serif" w:hAnsi="Times New Roman;Times;Serif"/>
          <w:sz w:val="20"/>
        </w:rPr>
        <w:t>.</w:t>
      </w:r>
    </w:p>
    <w:p>
      <w:pPr>
        <w:pStyle w:val="TextBody"/>
        <w:bidi w:val="0"/>
        <w:ind w:left="720" w:right="0" w:hanging="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7</w:t>
      </w:r>
      <w:r>
        <w:rPr>
          <w:rFonts w:ascii="Times New Roman;Times;Serif" w:hAnsi="Times New Roman;Times;Serif"/>
          <w:sz w:val="20"/>
        </w:rPr>
        <w:t>.</w:t>
        <w:tab/>
      </w:r>
      <w:r>
        <w:rPr>
          <w:rFonts w:ascii="Times New Roman;Times;Serif" w:hAnsi="Times New Roman;Times;Serif"/>
          <w:sz w:val="20"/>
          <w:u w:val="single"/>
        </w:rPr>
        <w:t>Negative Covenants</w:t>
      </w:r>
      <w:r>
        <w:rPr>
          <w:rFonts w:ascii="Times New Roman;Times;Serif" w:hAnsi="Times New Roman;Times;Serif"/>
          <w:sz w:val="20"/>
        </w:rPr>
        <w:t>. As long as at least $2,250,000 in aggregate principal amount of the Debentures remain outstanding, unless the Required Holders shall have otherwise given prior written consent, the Company shall not directly or indirectly:</w:t>
      </w:r>
    </w:p>
    <w:p>
      <w:pPr>
        <w:pStyle w:val="TextBody"/>
        <w:bidi w:val="0"/>
        <w:ind w:left="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other than Permitted Indebtedness, enter into, create, incur, assume, guarantee or suffer to exist any, Indebtedness;</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b)                  other than Permitted Liens, enter into, create, incur, assume or suffer to exist any Liens of any kind, on or with respect to any of its property or assets now owned or hereafter acquired or any interest therein or any income or profits therefrom;</w:t>
      </w:r>
    </w:p>
    <w:p>
      <w:pPr>
        <w:pStyle w:val="TextBody"/>
        <w:bidi w:val="0"/>
        <w:ind w:left="72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amend its charter documents, including, without limitation, its articles of incorporation and bylaws, in any manner that materially and adversely affects any rights of the Holders, provided that nothing herein shall limit the Corporation’s right to file additional Certificates of Designation to designate the rights, preferences, restrictions and other matters relating to one or more additional series of Preferred Stock as contemplated by the terms of the Purchase Agreement;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C-9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repay, repurchase or offer to repay, repurchase or otherwise acquire more than a </w:t>
      </w:r>
      <w:r>
        <w:rPr>
          <w:rFonts w:ascii="Times New Roman;Times;Serif" w:hAnsi="Times New Roman;Times;Serif"/>
          <w:sz w:val="20"/>
          <w:u w:val="single"/>
        </w:rPr>
        <w:t>de minimis</w:t>
      </w:r>
      <w:r>
        <w:rPr>
          <w:rFonts w:ascii="Times New Roman;Times;Serif" w:hAnsi="Times New Roman;Times;Serif"/>
          <w:sz w:val="20"/>
        </w:rPr>
        <w:t xml:space="preserve"> number of shares of its Common Stock or Common Stock Equivalents other than as to (i) the Conversion Shares or Warrant Shares as permitted or required under the Transaction Documents and (ii) repurchases of Common Stock or Common Stock Equivalents of departing officers and directors of the Company, provided that such repurchases shall not exceed an aggregate of $100,000 for all officers and directors during term of this Debenture; </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pay cash dividends or distributions on any equity securities of the Company;</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f)                   enter into any transaction with any Affiliate of the Company which would be required to be disclosed in any public filing with the Commission (as determined by counsel to the Company), unless such transaction is made on an arm’s-length basis and expressly approved by a majority of the disinterested directors of the Company (even if less than a quorum otherwise required for Board approval), provided that this provision shall not apply to the transactions contemplated by the Purchase Agreement;</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g)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h)                  enter into any agreement with respect to any of the foregoing.</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8</w:t>
      </w:r>
      <w:r>
        <w:rPr>
          <w:rFonts w:ascii="Times New Roman;Times;Serif" w:hAnsi="Times New Roman;Times;Serif"/>
          <w:sz w:val="20"/>
        </w:rPr>
        <w:t>.</w:t>
        <w:tab/>
      </w:r>
      <w:r>
        <w:rPr>
          <w:rFonts w:ascii="Times New Roman;Times;Serif" w:hAnsi="Times New Roman;Times;Serif"/>
          <w:sz w:val="20"/>
          <w:u w:val="single"/>
        </w:rPr>
        <w:t>Events of Default</w:t>
      </w:r>
      <w:r>
        <w:rPr>
          <w:rFonts w:ascii="Times New Roman;Times;Serif" w:hAnsi="Times New Roman;Times;Serif"/>
          <w:sz w:val="20"/>
        </w:rPr>
        <w: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Event of Default</w:t>
      </w:r>
      <w:r>
        <w:rPr>
          <w:rFonts w:ascii="Times New Roman;Times;Serif" w:hAnsi="Times New Roman;Times;Serif"/>
          <w:sz w:val="20"/>
        </w:rPr>
        <w:t>” means, wherever used herein,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w:t>
      </w:r>
    </w:p>
    <w:p>
      <w:pPr>
        <w:pStyle w:val="TextBody"/>
        <w:bidi w:val="0"/>
        <w:ind w:left="72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                        any default in the payment of (A) the principal amount of any Debenture or (B) interest or other amounts owing to a Holder on any Debenture, as and when the same shall become due and payable (whether on the Conversion Date or the Maturity Date, or by acceleration or otherwise) which default is not cured within three (3) Trading Days, provided the failure to timely deliver the Conversion Shares shall not constitute an Event of Default; </w:t>
      </w:r>
    </w:p>
    <w:p>
      <w:pPr>
        <w:pStyle w:val="TextBody"/>
        <w:bidi w:val="0"/>
        <w:ind w:left="1440" w:right="0" w:firstLine="72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ii.                        the Company shall fail to perform any other material covenant or agreement contained in the Debentures or in any Transaction Document, which failure is not cured, if possible to cure, within the earlier to occur of (A) five (5) Trading Days after receipt by the Company of written notice of such failure from the Holder (or any other Holder), and (B) ten (10) Trading Days after an executive officer of the Company has become aware of such failure;</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iii.                      a default or event of default (subject to any notice requirement, grace period or cure period provided in the applicable agreement, document or instrument) shall occur under any of the Transaction Documents;</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iv.                      any representation or warranty made in this Debenture, or in any other Transaction Documents, or in any certificate made or delivered to the Holder or to any other Holder hereto or thereto, shall be untrue or incorrect in any material respect as of the date made or deemed made;</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v.                       the Company shall be subject to a Bankruptcy Event;</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vi.                      the Company shall default on any of its obligations under any mortgage, credit agreement or other facility, indenture agreement, factoring agreement or other similar agreement under which there may be issued, or by which there may be secured or evidenced, any indebtedness for borrowed money or money due under any long term leasing or factoring arrangement that involves an obligation greater than $250,000, whether such indebtedness now exists or shall hereafter be created, and results in such indebtedness becoming or being declared due and payable prior to the date on which it would otherwise become due and payable;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C-10 </w:t>
      </w:r>
    </w:p>
    <w:p>
      <w:pPr>
        <w:pStyle w:val="TextBody"/>
        <w:bidi w:val="0"/>
        <w:spacing w:before="0" w:after="0"/>
        <w:ind w:left="0" w:right="0" w:hanging="0"/>
        <w:jc w:val="left"/>
        <w:rPr/>
      </w:pPr>
      <w:r>
        <w:rPr/>
        <w:t> </w:t>
      </w:r>
    </w:p>
    <w:p>
      <w:pPr>
        <w:pStyle w:val="TextBody"/>
        <w:bidi w:val="0"/>
        <w:ind w:left="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vii.                        the Company issues or incurs Indebtedness or grants a security interest to a Person which gives such Person priority over the Holder in the event of a default or event of default thereunder, except any Permitted Indebtedness or Permitted Liens; and</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viii.                        any final enforceable monetary judgment, writ or similar final process shall be entered or filed against the Company or its property or other assets for more than $250,000 (except to the extent fully covered by insurance pursuant to which the insurer has not denied coverage), and such judgment, writ or similar final process shall remain unvacated, unbonded or unstayed for a period of 60 calendar days.</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Remedies Upon Event of Default</w:t>
      </w:r>
      <w:r>
        <w:rPr>
          <w:rFonts w:ascii="Times New Roman;Times;Serif" w:hAnsi="Times New Roman;Times;Serif"/>
          <w:sz w:val="20"/>
        </w:rPr>
        <w:t>. If any Event of Default occurs and is continuing, the outstanding principal amount of this Debenture, plus accrued but unpaid interest and other amounts owing in respect thereof, shall become, at the Holder’s election, immediately due and payable in cash. Commencing upon the occurrence and during the continuance of any Event of Default, the interest rate on this Debenture shall accrue at an interest rate equal to the lesser of 12% per annum or the maximum rate permitted under applicable law. Upon the payment in full of this Debenture, the Holder shall promptly surrender this Debenture to or as directed by the Company. In connection with the existence of an Event of Default described herein, the Holder need not provide, and the Company hereby waives, any presentment, demand, protest or other notice of any kind, and the Holder may immediately and without expiration of any grace period enforce any and all of its rights and remedies hereunder and all other remedies available to it under applicable law. Such acceleration may be rescinded and annulled by Holder at any time prior to payment hereunder and the Holder shall have all rights as a holder of the Debenture until such time, if any, as the Holder receives full payment pursuant to this Section 8(b). No such rescission or annulment shall affect any subsequent Event of Default or impair any right consequent thereon.</w:t>
      </w:r>
    </w:p>
    <w:p>
      <w:pPr>
        <w:pStyle w:val="TextBody"/>
        <w:bidi w:val="0"/>
        <w:ind w:left="720" w:right="0" w:hanging="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9</w:t>
      </w:r>
      <w:r>
        <w:rPr>
          <w:rFonts w:ascii="Times New Roman;Times;Serif" w:hAnsi="Times New Roman;Times;Serif"/>
          <w:sz w:val="20"/>
        </w:rPr>
        <w:t>.</w:t>
        <w:tab/>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Notices</w:t>
      </w:r>
      <w:r>
        <w:rPr>
          <w:rFonts w:ascii="Times New Roman;Times;Serif" w:hAnsi="Times New Roman;Times;Serif"/>
          <w:sz w:val="20"/>
        </w:rPr>
        <w:t>. Any and all notices or other communications or deliveries to be provided by the Holder hereunder shall be in writing and delivered personally, by e-mail attachment, or sent by a nationally recognized overnight courier service, addressed to the Company, at the address set forth above, Attention: Chief Financial Officer, e-mail address [***], or such other e-mail address, or address as the Company may specify for such purposes by notice to the Holder delivered in accordance with this Section 9(a).  Any and all notices or other communications or deliveries to be provided by the Company hereunder shall be in writing and delivered personally, by e-mail attachment, or sent by a nationally recognized overnight courier service addressed to each Holder at the e-mail address or address of the Holder appearing on the books of the Company, or if no such e-mail address or address appears on the books of the Company,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attachment to the e-mail address set forth on the signature pages attached hereto prior to 5:30 p.m. (New York City time) on any date, (ii) the next Trading Day after the date of transmission, if such notice or communication is delivered via e-mail attachment to the e-mail address set forth on the signature pages attached hereto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Absolute Obligation</w:t>
      </w:r>
      <w:r>
        <w:rPr>
          <w:rFonts w:ascii="Times New Roman;Times;Serif" w:hAnsi="Times New Roman;Times;Serif"/>
          <w:sz w:val="20"/>
        </w:rPr>
        <w:t xml:space="preserve">. Except as expressly provided herein, no provision of this Debenture shall alter or impair the obligation of the Company, which is absolute and unconditional, to pay the principal of, liquidated damages and accrued interest, as applicable, on this Debenture at the time, place, and rate, and in the coin or currency, herein prescribed. This Debenture is a direct debt obligation of the Company. This Debenture ranks pari passu with all other Debentures issued pursuant to the Purchase Agreement.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Lost or Mutilated Debenture</w:t>
      </w:r>
      <w:r>
        <w:rPr>
          <w:rFonts w:ascii="Times New Roman;Times;Serif" w:hAnsi="Times New Roman;Times;Serif"/>
          <w:sz w:val="20"/>
        </w:rPr>
        <w:t>. If this Debenture shall be mutilated, lost, stolen or destroyed, the Company shall execute and deliver, in exchange and substitution for and upon cancellation of a mutilated Debenture, or in lieu of or in substitution for a lost, stolen or destroyed Debenture, a new Debenture for the principal amount of this Debenture so mutilated, lost, stolen or destroyed, but only upon receipt of evidence of such loss, theft or destruction of such Debenture, and of the ownership hereof, reasonably satisfactory to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C-11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Governing Law</w:t>
      </w:r>
      <w:r>
        <w:rPr>
          <w:rFonts w:ascii="Times New Roman;Times;Serif" w:hAnsi="Times New Roman;Times;Serif"/>
          <w:sz w:val="20"/>
        </w:rPr>
        <w:t>. All questions concerning the construction, validity, enforcement and interpretation of this Debenture shall be governed by and construed and enforced in accordance with the internal laws of the State of New York,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only be commenced in the state and federal courts sitting in the City of New York, Borough of Manhattan (the “</w:t>
      </w:r>
      <w:r>
        <w:rPr>
          <w:rFonts w:ascii="Times New Roman;Times;Serif" w:hAnsi="Times New Roman;Times;Serif"/>
          <w:sz w:val="20"/>
          <w:u w:val="single"/>
        </w:rPr>
        <w:t>New York Courts</w:t>
      </w:r>
      <w:r>
        <w:rPr>
          <w:rFonts w:ascii="Times New Roman;Times;Serif" w:hAnsi="Times New Roman;Times;Serif"/>
          <w:sz w:val="20"/>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Debenture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Debenture or the transactions contemplated hereby. If any party shall commence an action or proceeding to enforce any provisions of this Debenture,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Waiver and Amendment</w:t>
      </w:r>
      <w:r>
        <w:rPr>
          <w:rFonts w:ascii="Times New Roman;Times;Serif" w:hAnsi="Times New Roman;Times;Serif"/>
          <w:sz w:val="20"/>
        </w:rPr>
        <w:t xml:space="preserve">. Any waiver by the Company or the Holder of a breach of any provision of this Debenture shall not operate as or be construed to be a waiver of any other breach of such provision or of any breach of any other provision of this Debenture. The failure of the Company or the Holder to insist upon strict adherence to any term of this Debenture on one or more occasions shall not be considered a waiver or deprive that party of the right thereafter to insist upon strict adherence to that term or any other term of this Debenture on any other occasion. Any waiver by the Company or the Holder must be in writing. Any amendment of this Debenture must be pursuant to a written agreement between the Holder and the Company. Notwithstanding the foregoing, any provision of this Debenture may be waived or amended on behalf of all holders of the Debentures by the affirmative vote or written consent of the Requisite Holders.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Severability</w:t>
      </w:r>
      <w:r>
        <w:rPr>
          <w:rFonts w:ascii="Times New Roman;Times;Serif" w:hAnsi="Times New Roman;Times;Serif"/>
          <w:sz w:val="20"/>
        </w:rPr>
        <w:t>.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and the Company hereby expressly waives all benefits or advantage of any such law.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C-12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Remedies, Characterizations, Other Obligations, Breaches and Injunctive Relief</w:t>
      </w:r>
      <w:r>
        <w:rPr>
          <w:rFonts w:ascii="Times New Roman;Times;Serif" w:hAnsi="Times New Roman;Times;Serif"/>
          <w:sz w:val="20"/>
        </w:rPr>
        <w:t>.  The remedies provided in this Debenture shall be cumulative and in addition to all other remedies available under this Debenture and any of the other Transaction Documents at law or in equity (including a decree of specific performance and/or other injunctive relief), and nothing herein shall limit the Holder’s right to pursue damages for any failure by the Company to comply with the terms of this Debenture.  The Company acknowledges that a breach by it of its obligations hereunder will cause irreparable harm to the Holder and that the remedy at law for any such breach may be inadequate. The Company therefore agrees that, in the event of any such breach, the Holder shall be entitled, in addition to all other available remedies, to an injunction restraining any such breach.</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Next Business Day</w:t>
      </w:r>
      <w:r>
        <w:rPr>
          <w:rFonts w:ascii="Times New Roman;Times;Serif" w:hAnsi="Times New Roman;Times;Serif"/>
          <w:sz w:val="20"/>
        </w:rPr>
        <w:t>. Whenever any payment or other obligation hereunder shall be due on a day other than a Business Day, such payment shall be made on the next succeeding Business Day.</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Headings</w:t>
      </w:r>
      <w:r>
        <w:rPr>
          <w:rFonts w:ascii="Times New Roman;Times;Serif" w:hAnsi="Times New Roman;Times;Serif"/>
          <w:sz w:val="20"/>
        </w:rPr>
        <w:t>. The headings contained herein are for convenience only, do not constitute a part of this Debenture and shall not be deemed to limit or affect any of the provisions hereof.</w:t>
      </w:r>
    </w:p>
    <w:p>
      <w:pPr>
        <w:pStyle w:val="TextBody"/>
        <w:bidi w:val="0"/>
        <w:ind w:left="1440" w:right="0" w:hanging="0"/>
        <w:jc w:val="both"/>
        <w:rPr/>
      </w:pPr>
      <w:r>
        <w:rPr/>
        <w:t> </w:t>
      </w:r>
    </w:p>
    <w:p>
      <w:pPr>
        <w:pStyle w:val="TextBody"/>
        <w:bidi w:val="0"/>
        <w:spacing w:before="0" w:after="120"/>
        <w:ind w:left="720" w:right="0" w:firstLine="72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Successors and Assigns</w:t>
      </w:r>
      <w:r>
        <w:rPr>
          <w:rFonts w:ascii="Times New Roman;Times;Serif" w:hAnsi="Times New Roman;Times;Serif"/>
          <w:sz w:val="20"/>
        </w:rPr>
        <w:t>. Subject to compliance with any applicable securities laws and Section 4.1 of the Purchase Agreement, this Debenture and all rights arising therefrom or relating thereto (including, without limitation, any registration rights) are transferable, in whole or in part, by the Holder in the manner and to the Persons as permitted under Section 5.7 of the Purchase Agreement.</w:t>
      </w:r>
    </w:p>
    <w:p>
      <w:pPr>
        <w:pStyle w:val="TextBody"/>
        <w:bidi w:val="0"/>
        <w:ind w:left="1440" w:right="0" w:hanging="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10</w:t>
      </w:r>
      <w:r>
        <w:rPr>
          <w:rFonts w:ascii="Times New Roman;Times;Serif" w:hAnsi="Times New Roman;Times;Serif"/>
          <w:sz w:val="20"/>
        </w:rPr>
        <w:t xml:space="preserve">. </w:t>
      </w:r>
      <w:r>
        <w:rPr>
          <w:rFonts w:ascii="Times New Roman;Times;Serif" w:hAnsi="Times New Roman;Times;Serif"/>
          <w:sz w:val="20"/>
          <w:u w:val="single"/>
        </w:rPr>
        <w:t>Disclosure</w:t>
      </w:r>
      <w:r>
        <w:rPr>
          <w:rFonts w:ascii="Times New Roman;Times;Serif" w:hAnsi="Times New Roman;Times;Serif"/>
          <w:sz w:val="20"/>
        </w:rPr>
        <w:t>. Upon receipt or delivery by the Company of any notice in accordance with the terms of this Debenture, unless the Company has in good faith determined that the matters relating to such notice do not constitute material, nonpublic information relating to the Company or its Subsidiaries, the Company shall within two (2) Business Days after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the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pStyle w:val="TextBody"/>
        <w:bidi w:val="0"/>
        <w:ind w:left="1440" w:right="0" w:hanging="0"/>
        <w:jc w:val="both"/>
        <w:rPr/>
      </w:pPr>
      <w:r>
        <w:rPr/>
        <w:t> </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C-13 </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IN WITNESS WHEREOF, the Company has caused this Debenture to be duly executed by a duly authorized officer as of the date first above indicated.</w:t>
      </w:r>
    </w:p>
    <w:p>
      <w:pPr>
        <w:pStyle w:val="TextBody"/>
        <w:bidi w:val="0"/>
        <w:jc w:val="both"/>
        <w:rPr/>
      </w:pPr>
      <w:r>
        <w:rPr/>
        <w:t> </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jc w:val="left"/>
              <w:rPr>
                <w:rFonts w:ascii="Times New Roman;Times;Serif" w:hAnsi="Times New Roman;Times;Serif"/>
                <w:b/>
                <w:caps/>
                <w:sz w:val="20"/>
              </w:rPr>
            </w:pPr>
            <w:r>
              <w:rPr>
                <w:rFonts w:ascii="Times New Roman;Times;Serif" w:hAnsi="Times New Roman;Times;Serif"/>
                <w:b/>
                <w:caps/>
                <w:sz w:val="20"/>
              </w:rPr>
              <w:t>Expion ENERGY, inc.</w:t>
            </w:r>
          </w:p>
          <w:p>
            <w:pPr>
              <w:pStyle w:val="TableContents"/>
              <w:bidi w:val="0"/>
              <w:jc w:val="left"/>
              <w:rPr/>
            </w:pPr>
            <w:r>
              <w:rPr/>
              <w:t> </w:t>
            </w:r>
          </w:p>
          <w:p>
            <w:pPr>
              <w:pStyle w:val="TableContents"/>
              <w:bidi w:val="0"/>
              <w:spacing w:before="0" w:after="283"/>
              <w:jc w:val="left"/>
              <w:rPr/>
            </w:pPr>
            <w:r>
              <w:rPr/>
              <w:t> </w:t>
            </w:r>
          </w:p>
        </w:tc>
      </w:tr>
      <w:tr>
        <w:trPr/>
        <w:tc>
          <w:tcPr>
            <w:tcW w:w="476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Name:</w:t>
            </w:r>
          </w:p>
          <w:p>
            <w:pPr>
              <w:pStyle w:val="TableContents"/>
              <w:bidi w:val="0"/>
              <w:spacing w:before="0" w:after="283"/>
              <w:ind w:left="0" w:right="0" w:firstLine="36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C-14 </w:t>
      </w:r>
    </w:p>
    <w:p>
      <w:pPr>
        <w:pStyle w:val="TextBody"/>
        <w:bidi w:val="0"/>
        <w:ind w:left="0" w:right="0" w:hanging="0"/>
        <w:jc w:val="right"/>
        <w:rPr>
          <w:rFonts w:ascii="Times New Roman;Times;Serif" w:hAnsi="Times New Roman;Times;Serif"/>
          <w:b/>
          <w:sz w:val="20"/>
        </w:rPr>
      </w:pPr>
      <w:bookmarkStart w:id="30" w:name="ex_d.htm"/>
      <w:bookmarkStart w:id="31" w:name="ksex_d"/>
      <w:bookmarkEnd w:id="30"/>
      <w:bookmarkEnd w:id="31"/>
      <w:r>
        <w:rPr>
          <w:rFonts w:ascii="Times New Roman;Times;Serif" w:hAnsi="Times New Roman;Times;Serif"/>
          <w:b/>
          <w:sz w:val="20"/>
        </w:rPr>
        <w:t>Exhibit D</w:t>
      </w:r>
      <w:r>
        <w:br w:type="page"/>
      </w:r>
    </w:p>
    <w:p>
      <w:pPr>
        <w:pStyle w:val="TextBody"/>
        <w:bidi w:val="0"/>
        <w:ind w:left="0" w:right="0" w:hanging="0"/>
        <w:jc w:val="both"/>
        <w:rPr/>
      </w:pPr>
      <w:r>
        <w:rPr/>
        <w:t> </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FORM OF</w:t>
      </w:r>
    </w:p>
    <w:p>
      <w:pPr>
        <w:pStyle w:val="TextBody"/>
        <w:bidi w:val="0"/>
        <w:jc w:val="center"/>
        <w:rPr>
          <w:rFonts w:ascii="Times New Roman;Times;Serif" w:hAnsi="Times New Roman;Times;Serif"/>
          <w:b/>
          <w:sz w:val="20"/>
        </w:rPr>
      </w:pPr>
      <w:r>
        <w:rPr>
          <w:rFonts w:ascii="Times New Roman;Times;Serif" w:hAnsi="Times New Roman;Times;Serif"/>
          <w:b/>
          <w:sz w:val="20"/>
        </w:rPr>
        <w:t>COMMON STOCK PURCHASE WARRANT</w:t>
      </w:r>
    </w:p>
    <w:p>
      <w:pPr>
        <w:pStyle w:val="TextBody"/>
        <w:bidi w:val="0"/>
        <w:jc w:val="both"/>
        <w:rPr/>
      </w:pPr>
      <w:r>
        <w:rPr/>
        <w:t> </w:t>
      </w:r>
    </w:p>
    <w:p>
      <w:pPr>
        <w:pStyle w:val="TextBody"/>
        <w:bidi w:val="0"/>
        <w:spacing w:before="0" w:after="240"/>
        <w:jc w:val="center"/>
        <w:rPr>
          <w:rFonts w:ascii="Times New Roman;Times;Serif" w:hAnsi="Times New Roman;Times;Serif"/>
          <w:b/>
          <w:caps/>
          <w:sz w:val="20"/>
        </w:rPr>
      </w:pPr>
      <w:r>
        <w:rPr>
          <w:rFonts w:ascii="Times New Roman;Times;Serif" w:hAnsi="Times New Roman;Times;Serif"/>
          <w:b/>
          <w:caps/>
          <w:sz w:val="20"/>
        </w:rPr>
        <w:t>expion ENERGY, inc.</w:t>
      </w:r>
    </w:p>
    <w:p>
      <w:pPr>
        <w:pStyle w:val="TextBody"/>
        <w:bidi w:val="0"/>
        <w:spacing w:before="240" w:after="240"/>
        <w:ind w:left="240" w:right="240" w:hanging="0"/>
        <w:jc w:val="left"/>
        <w:rPr>
          <w:rFonts w:ascii="Times New Roman;Times;Serif" w:hAnsi="Times New Roman;Times;Serif"/>
          <w:sz w:val="20"/>
        </w:rPr>
      </w:pPr>
      <w:r>
        <w:rPr>
          <w:rFonts w:ascii="Times New Roman;Times;Serif" w:hAnsi="Times New Roman;Times;Serif"/>
          <w:sz w:val="20"/>
        </w:rPr>
        <w:t>Warrant Shares: [__________]</w:t>
        <w:tab/>
        <w:t xml:space="preserve"> </w:t>
        <w:tab/>
        <w:t xml:space="preserve"> </w:t>
        <w:tab/>
        <w:t xml:space="preserve"> Initial Exercise Date: August 21, 2026</w:t>
      </w:r>
    </w:p>
    <w:p>
      <w:pPr>
        <w:pStyle w:val="TextBody"/>
        <w:bidi w:val="0"/>
        <w:jc w:val="left"/>
        <w:rPr>
          <w:caps/>
        </w:rPr>
      </w:pPr>
      <w:r>
        <w:rPr>
          <w:caps/>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COMMON STOCK PURCHASE WARRANT (the “</w:t>
      </w:r>
      <w:r>
        <w:rPr>
          <w:rFonts w:ascii="Times New Roman;Times;Serif" w:hAnsi="Times New Roman;Times;Serif"/>
          <w:sz w:val="20"/>
          <w:u w:val="single"/>
        </w:rPr>
        <w:t>Warrant</w:t>
      </w:r>
      <w:r>
        <w:rPr>
          <w:rFonts w:ascii="Times New Roman;Times;Serif" w:hAnsi="Times New Roman;Times;Serif"/>
          <w:sz w:val="20"/>
        </w:rPr>
        <w:t>”) certifies that, for value received, [__________] or its assigns (the “</w:t>
      </w:r>
      <w:r>
        <w:rPr>
          <w:rFonts w:ascii="Times New Roman;Times;Serif" w:hAnsi="Times New Roman;Times;Serif"/>
          <w:sz w:val="20"/>
          <w:u w:val="single"/>
        </w:rPr>
        <w:t>Holder</w:t>
      </w:r>
      <w:r>
        <w:rPr>
          <w:rFonts w:ascii="Times New Roman;Times;Serif" w:hAnsi="Times New Roman;Times;Serif"/>
          <w:sz w:val="20"/>
        </w:rPr>
        <w:t>”) is entitled, upon the terms and subject to the limitations on exercise and the conditions hereinafter set forth, at any time on or after the date hereof (the “</w:t>
      </w:r>
      <w:r>
        <w:rPr>
          <w:rFonts w:ascii="Times New Roman;Times;Serif" w:hAnsi="Times New Roman;Times;Serif"/>
          <w:sz w:val="20"/>
          <w:u w:val="single"/>
        </w:rPr>
        <w:t>Initial Exercise Date</w:t>
      </w:r>
      <w:r>
        <w:rPr>
          <w:rFonts w:ascii="Times New Roman;Times;Serif" w:hAnsi="Times New Roman;Times;Serif"/>
          <w:sz w:val="20"/>
        </w:rPr>
        <w:t>”) and on or prior to 5:00 p.m. (New York City time) on August 21, 2031 (the “</w:t>
      </w:r>
      <w:r>
        <w:rPr>
          <w:rFonts w:ascii="Times New Roman;Times;Serif" w:hAnsi="Times New Roman;Times;Serif"/>
          <w:sz w:val="20"/>
          <w:u w:val="single"/>
        </w:rPr>
        <w:t>Termination Date</w:t>
      </w:r>
      <w:r>
        <w:rPr>
          <w:rFonts w:ascii="Times New Roman;Times;Serif" w:hAnsi="Times New Roman;Times;Serif"/>
          <w:sz w:val="20"/>
        </w:rPr>
        <w:t>”) but not thereafter, to subscribe for and purchase from Expion Energy, Inc., a Nevada corporation (the “</w:t>
      </w:r>
      <w:r>
        <w:rPr>
          <w:rFonts w:ascii="Times New Roman;Times;Serif" w:hAnsi="Times New Roman;Times;Serif"/>
          <w:sz w:val="20"/>
          <w:u w:val="single"/>
        </w:rPr>
        <w:t>Company</w:t>
      </w:r>
      <w:r>
        <w:rPr>
          <w:rFonts w:ascii="Times New Roman;Times;Serif" w:hAnsi="Times New Roman;Times;Serif"/>
          <w:sz w:val="20"/>
        </w:rPr>
        <w:t>”), up to [__________] shares (as subject to adjustment hereunder, the “</w:t>
      </w:r>
      <w:r>
        <w:rPr>
          <w:rFonts w:ascii="Times New Roman;Times;Serif" w:hAnsi="Times New Roman;Times;Serif"/>
          <w:sz w:val="20"/>
          <w:u w:val="single"/>
        </w:rPr>
        <w:t>Warrant Shares</w:t>
      </w:r>
      <w:r>
        <w:rPr>
          <w:rFonts w:ascii="Times New Roman;Times;Serif" w:hAnsi="Times New Roman;Times;Serif"/>
          <w:sz w:val="20"/>
        </w:rPr>
        <w:t>”) of Common Stock. The purchase price of one share of Common Stock under this Warrant shall be equal to the Exercise Price, as defined in Section 2(b).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Section 1</w:t>
      </w:r>
      <w:r>
        <w:rPr>
          <w:rFonts w:ascii="Times New Roman;Times;Serif" w:hAnsi="Times New Roman;Times;Serif"/>
          <w:sz w:val="20"/>
        </w:rPr>
        <w:t>.</w:t>
        <w:tab/>
      </w:r>
      <w:r>
        <w:rPr>
          <w:rFonts w:ascii="Times New Roman;Times;Serif" w:hAnsi="Times New Roman;Times;Serif"/>
          <w:sz w:val="20"/>
          <w:u w:val="single"/>
        </w:rPr>
        <w:t>Definitions</w:t>
      </w:r>
      <w:r>
        <w:rPr>
          <w:rFonts w:ascii="Times New Roman;Times;Serif" w:hAnsi="Times New Roman;Times;Serif"/>
          <w:sz w:val="20"/>
        </w:rPr>
        <w:t>. Capitalized terms used and not otherwise defined herein shall have the meanings set forth in that certain Securities Purchase Agreement (the “</w:t>
      </w:r>
      <w:r>
        <w:rPr>
          <w:rFonts w:ascii="Times New Roman;Times;Serif" w:hAnsi="Times New Roman;Times;Serif"/>
          <w:sz w:val="20"/>
          <w:u w:val="single"/>
        </w:rPr>
        <w:t>Purchase Agreement</w:t>
      </w:r>
      <w:r>
        <w:rPr>
          <w:rFonts w:ascii="Times New Roman;Times;Serif" w:hAnsi="Times New Roman;Times;Serif"/>
          <w:sz w:val="20"/>
        </w:rPr>
        <w:t>”), dated August 21, 2026, among the Company and the purchasers signatory thereto.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Section 2</w:t>
      </w:r>
      <w:r>
        <w:rPr>
          <w:rFonts w:ascii="Times New Roman;Times;Serif" w:hAnsi="Times New Roman;Times;Serif"/>
          <w:sz w:val="20"/>
        </w:rPr>
        <w:t>.</w:t>
        <w:tab/>
      </w:r>
      <w:r>
        <w:rPr>
          <w:rFonts w:ascii="Times New Roman;Times;Serif" w:hAnsi="Times New Roman;Times;Serif"/>
          <w:sz w:val="20"/>
          <w:u w:val="single"/>
        </w:rPr>
        <w:t>Exercise</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Exercise of Warrant</w:t>
      </w:r>
      <w:r>
        <w:rPr>
          <w:rFonts w:ascii="Times New Roman;Times;Serif" w:hAnsi="Times New Roman;Times;Serif"/>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sz w:val="20"/>
          <w:u w:val="single"/>
        </w:rPr>
        <w:t>Notice of Exercise</w:t>
      </w:r>
      <w:r>
        <w:rPr>
          <w:rFonts w:ascii="Times New Roman;Times;Serif" w:hAnsi="Times New Roman;Times;Serif"/>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as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D-1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Exercise Price</w:t>
      </w:r>
      <w:r>
        <w:rPr>
          <w:rFonts w:ascii="Times New Roman;Times;Serif" w:hAnsi="Times New Roman;Times;Serif"/>
          <w:sz w:val="20"/>
        </w:rPr>
        <w:t>. The exercise price per share of Common Stock under this Warrant shall be $4.25, subject to adjustment hereunder (the “</w:t>
      </w:r>
      <w:r>
        <w:rPr>
          <w:rFonts w:ascii="Times New Roman;Times;Serif" w:hAnsi="Times New Roman;Times;Serif"/>
          <w:sz w:val="20"/>
          <w:u w:val="single"/>
        </w:rPr>
        <w:t>Exercise Price</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Cashless Exercise</w:t>
      </w:r>
      <w:r>
        <w:rPr>
          <w:rFonts w:ascii="Times New Roman;Times;Serif" w:hAnsi="Times New Roman;Times;Serif"/>
          <w:sz w:val="20"/>
        </w:rPr>
        <w:t>. If at the time of any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ind w:left="1980" w:right="0" w:hanging="540"/>
        <w:jc w:val="both"/>
        <w:rPr>
          <w:rFonts w:ascii="Times New Roman;Times;Serif" w:hAnsi="Times New Roman;Times;Serif"/>
          <w:sz w:val="20"/>
        </w:rPr>
      </w:pPr>
      <w:r>
        <w:rPr>
          <w:rFonts w:ascii="Times New Roman;Times;Serif" w:hAnsi="Times New Roman;Times;Serif"/>
          <w:sz w:val="20"/>
        </w:rPr>
        <w:t>(A) =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Times;Serif" w:hAnsi="Times New Roman;Times;Serif"/>
          <w:sz w:val="20"/>
          <w:u w:val="single"/>
        </w:rPr>
        <w:t>Bloomberg</w:t>
      </w:r>
      <w:r>
        <w:rPr>
          <w:rFonts w:ascii="Times New Roman;Times;Serif" w:hAnsi="Times New Roman;Times;Serif"/>
          <w:sz w:val="20"/>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pStyle w:val="TextBody"/>
        <w:bidi w:val="0"/>
        <w:ind w:left="2160" w:right="0" w:hanging="720"/>
        <w:jc w:val="both"/>
        <w:rPr/>
      </w:pPr>
      <w:r>
        <w:rPr/>
        <w:t> </w:t>
      </w:r>
    </w:p>
    <w:p>
      <w:pPr>
        <w:pStyle w:val="TextBody"/>
        <w:bidi w:val="0"/>
        <w:ind w:left="2160" w:right="0" w:hanging="720"/>
        <w:jc w:val="both"/>
        <w:rPr>
          <w:rFonts w:ascii="Times New Roman;Times;Serif" w:hAnsi="Times New Roman;Times;Serif"/>
          <w:sz w:val="20"/>
        </w:rPr>
      </w:pPr>
      <w:r>
        <w:rPr>
          <w:rFonts w:ascii="Times New Roman;Times;Serif" w:hAnsi="Times New Roman;Times;Serif"/>
          <w:sz w:val="20"/>
        </w:rPr>
        <w:t>(B) = the Exercise Price of this Warrant, as adjusted hereunder; and</w:t>
      </w:r>
    </w:p>
    <w:p>
      <w:pPr>
        <w:pStyle w:val="TextBody"/>
        <w:bidi w:val="0"/>
        <w:ind w:left="2160" w:right="0" w:hanging="720"/>
        <w:jc w:val="both"/>
        <w:rPr/>
      </w:pPr>
      <w:r>
        <w:rPr/>
        <w:t> </w:t>
      </w:r>
    </w:p>
    <w:p>
      <w:pPr>
        <w:pStyle w:val="TextBody"/>
        <w:bidi w:val="0"/>
        <w:ind w:left="2070" w:right="0" w:hanging="630"/>
        <w:jc w:val="both"/>
        <w:rPr>
          <w:rFonts w:ascii="Times New Roman;Times;Serif" w:hAnsi="Times New Roman;Times;Serif"/>
          <w:sz w:val="20"/>
        </w:rPr>
      </w:pPr>
      <w:r>
        <w:rPr>
          <w:rFonts w:ascii="Times New Roman;Times;Serif" w:hAnsi="Times New Roman;Times;Serif"/>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ind w:left="2070" w:right="0" w:hanging="630"/>
        <w:jc w:val="both"/>
        <w:rPr/>
      </w:pPr>
      <w:r>
        <w:rPr/>
        <w:t> </w:t>
      </w:r>
    </w:p>
    <w:p>
      <w:pPr>
        <w:pStyle w:val="TextBody"/>
        <w:bidi w:val="0"/>
        <w:ind w:left="72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Bid Price</w:t>
      </w:r>
      <w:r>
        <w:rPr>
          <w:rFonts w:ascii="Times New Roman;Times;Serif" w:hAnsi="Times New Roman;Times;Serif"/>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OTCID Basic Market or the Pink Limited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D-2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VWAP</w:t>
      </w:r>
      <w:r>
        <w:rPr>
          <w:rFonts w:ascii="Times New Roman;Times;Serif" w:hAnsi="Times New Roman;Times;Serif"/>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w:t>
      </w:r>
      <w:r>
        <w:rPr>
          <w:rFonts w:ascii="Times New Roman;Times;Serif" w:hAnsi="Times New Roman;Times;Serif"/>
          <w:sz w:val="20"/>
          <w:u w:val="single"/>
        </w:rPr>
        <w:t>OTCQB</w:t>
      </w:r>
      <w:r>
        <w:rPr>
          <w:rFonts w:ascii="Times New Roman;Times;Serif" w:hAnsi="Times New Roman;Times;Serif"/>
          <w:sz w:val="20"/>
        </w:rPr>
        <w:t>”) or the OTCQX Best Market (“</w:t>
      </w:r>
      <w:r>
        <w:rPr>
          <w:rFonts w:ascii="Times New Roman;Times;Serif" w:hAnsi="Times New Roman;Times;Serif"/>
          <w:sz w:val="20"/>
          <w:u w:val="single"/>
        </w:rPr>
        <w:t>OTCQX</w:t>
      </w:r>
      <w:r>
        <w:rPr>
          <w:rFonts w:ascii="Times New Roman;Times;Serif" w:hAnsi="Times New Roman;Times;Serif"/>
          <w:sz w:val="20"/>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OTCID Basic Market or the Pink Limited Market operated by the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ind w:left="720" w:right="0" w:firstLine="72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Notwithstanding anything herein to the contrary, on the Termination Date, this Warrant shall be automatically exercised via cashless exercise pursuant to this Section 2(c), subject to the Beneficial Ownership Limitation and Section 2(e). To the extent such automatic exercise would otherwise result in the issuance of Excess Shares (as defined in Section 2(e)), such Excess Shares shall instead be held in abeyance for the benefit of the Holder until such time, if ever, as its right thereto would not result in the Holder exceeding the Beneficial Ownership Limitation.</w:t>
      </w:r>
    </w:p>
    <w:p>
      <w:pPr>
        <w:pStyle w:val="TextBody"/>
        <w:bidi w:val="0"/>
        <w:ind w:left="720" w:right="0" w:firstLine="720"/>
        <w:jc w:val="both"/>
        <w:rPr/>
      </w:pPr>
      <w:r>
        <w:rPr/>
        <w:t> </w:t>
      </w:r>
    </w:p>
    <w:tbl>
      <w:tblPr>
        <w:tblW w:w="2178" w:type="dxa"/>
        <w:jc w:val="left"/>
        <w:tblInd w:w="0" w:type="dxa"/>
        <w:tblLayout w:type="fixed"/>
        <w:tblCellMar>
          <w:top w:w="0" w:type="dxa"/>
          <w:left w:w="0" w:type="dxa"/>
          <w:bottom w:w="0" w:type="dxa"/>
          <w:right w:w="0" w:type="dxa"/>
        </w:tblCellMar>
      </w:tblPr>
      <w:tblGrid>
        <w:gridCol w:w="38"/>
        <w:gridCol w:w="185"/>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Mechanics of Exercise</w:t>
            </w:r>
            <w:r>
              <w:rPr>
                <w:rFonts w:ascii="Times New Roman;Times;Serif" w:hAnsi="Times New Roman;Times;Serif"/>
                <w:sz w:val="20"/>
              </w:rPr>
              <w:t xml:space="preserve">. </w:t>
            </w:r>
          </w:p>
        </w:tc>
      </w:tr>
    </w:tbl>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Delivery of Warrant Shares Upon Exercise</w:t>
      </w:r>
      <w:r>
        <w:rPr>
          <w:rFonts w:ascii="Times New Roman;Times;Serif" w:hAnsi="Times New Roman;Times;Serif"/>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sz w:val="20"/>
          <w:u w:val="single"/>
        </w:rPr>
        <w:t>DWAC</w:t>
      </w:r>
      <w:r>
        <w:rPr>
          <w:rFonts w:ascii="Times New Roman;Times;Serif" w:hAnsi="Times New Roman;Times;Serif"/>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sz w:val="20"/>
          <w:u w:val="single"/>
        </w:rPr>
        <w:t>Warrant Share Delivery Date</w:t>
      </w:r>
      <w:r>
        <w:rPr>
          <w:rFonts w:ascii="Times New Roman;Times;Serif" w:hAnsi="Times New Roman;Times;Serif"/>
          <w:sz w:val="20"/>
        </w:rPr>
        <w:t>”) (provided that if the aggregate Exercise Price has not been delivered by such date, the Warrant Share Delivery Date shall be one (1) Trading Day after the aggregate Exercise Price (or notice of a “cashless exercise”) is delivered).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Notwithstanding anything herein to the contrary, upon delivery of the Notice of Exercise, the Holder shall be deemed for purposes of Regulation SHO under the Exchange Act to have become the holder of the Warrant Shares irrespective of the date of delivery of the Warrant Shares. The Company agrees to maintain a transfer agent that is a participant in the FAST program so long as this Warrant remains outstanding and exercisable. As used herein, “</w:t>
      </w:r>
      <w:r>
        <w:rPr>
          <w:rFonts w:ascii="Times New Roman;Times;Serif" w:hAnsi="Times New Roman;Times;Serif"/>
          <w:sz w:val="20"/>
          <w:u w:val="single"/>
        </w:rPr>
        <w:t>Standard Settlement Period</w:t>
      </w:r>
      <w:r>
        <w:rPr>
          <w:rFonts w:ascii="Times New Roman;Times;Serif" w:hAnsi="Times New Roman;Times;Serif"/>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D-3 </w:t>
      </w:r>
    </w:p>
    <w:p>
      <w:pPr>
        <w:pStyle w:val="TextBody"/>
        <w:bidi w:val="0"/>
        <w:spacing w:before="0" w:after="0"/>
        <w:ind w:left="0" w:right="0" w:hanging="0"/>
        <w:jc w:val="left"/>
        <w:rPr/>
      </w:pPr>
      <w:r>
        <w:rPr/>
        <w:t> </w:t>
      </w:r>
    </w:p>
    <w:p>
      <w:pPr>
        <w:pStyle w:val="TextBody"/>
        <w:bidi w:val="0"/>
        <w:spacing w:before="0" w:after="240"/>
        <w:ind w:left="2340" w:right="0" w:firstLine="63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Delivery of New Warrants Upon Exercise</w:t>
      </w:r>
      <w:r>
        <w:rPr>
          <w:rFonts w:ascii="Times New Roman;Times;Serif" w:hAnsi="Times New Roman;Times;Serif"/>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iii.                  </w:t>
      </w:r>
      <w:r>
        <w:rPr>
          <w:rFonts w:ascii="Times New Roman;Times;Serif" w:hAnsi="Times New Roman;Times;Serif"/>
          <w:sz w:val="20"/>
          <w:u w:val="single"/>
        </w:rPr>
        <w:t>Rescission Rights</w:t>
      </w:r>
      <w:r>
        <w:rPr>
          <w:rFonts w:ascii="Times New Roman;Times;Serif" w:hAnsi="Times New Roman;Times;Serif"/>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iv.                  </w:t>
      </w:r>
      <w:r>
        <w:rPr>
          <w:rFonts w:ascii="Times New Roman;Times;Serif" w:hAnsi="Times New Roman;Times;Serif"/>
          <w:sz w:val="20"/>
          <w:u w:val="single"/>
        </w:rPr>
        <w:t>Compensation for Buy-In on Failure to Timely Deliver Warrant Shares Upon Exercise</w:t>
      </w:r>
      <w:r>
        <w:rPr>
          <w:rFonts w:ascii="Times New Roman;Times;Serif" w:hAnsi="Times New Roman;Times;Serif"/>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sz w:val="20"/>
          <w:u w:val="single"/>
        </w:rPr>
        <w:t>Buy-In</w:t>
      </w:r>
      <w:r>
        <w:rPr>
          <w:rFonts w:ascii="Times New Roman;Times;Serif" w:hAnsi="Times New Roman;Times;Serif"/>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v.                  </w:t>
      </w:r>
      <w:r>
        <w:rPr>
          <w:rFonts w:ascii="Times New Roman;Times;Serif" w:hAnsi="Times New Roman;Times;Serif"/>
          <w:sz w:val="20"/>
          <w:u w:val="single"/>
        </w:rPr>
        <w:t>No Fractional Shares or Scrip</w:t>
      </w:r>
      <w:r>
        <w:rPr>
          <w:rFonts w:ascii="Times New Roman;Times;Serif" w:hAnsi="Times New Roman;Times;Serif"/>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vi.                  </w:t>
      </w:r>
      <w:r>
        <w:rPr>
          <w:rFonts w:ascii="Times New Roman;Times;Serif" w:hAnsi="Times New Roman;Times;Serif"/>
          <w:sz w:val="20"/>
          <w:u w:val="single"/>
        </w:rPr>
        <w:t>Charges, Taxes and Expenses</w:t>
      </w:r>
      <w:r>
        <w:rPr>
          <w:rFonts w:ascii="Times New Roman;Times;Serif" w:hAnsi="Times New Roman;Times;Serif"/>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vii.                  </w:t>
      </w:r>
      <w:r>
        <w:rPr>
          <w:rFonts w:ascii="Times New Roman;Times;Serif" w:hAnsi="Times New Roman;Times;Serif"/>
          <w:sz w:val="20"/>
          <w:u w:val="single"/>
        </w:rPr>
        <w:t>Closing of Books</w:t>
      </w:r>
      <w:r>
        <w:rPr>
          <w:rFonts w:ascii="Times New Roman;Times;Serif" w:hAnsi="Times New Roman;Times;Serif"/>
          <w:sz w:val="20"/>
        </w:rPr>
        <w:t>. The Company will not close its stockholder books or records in any manner which prevents the timely exercise of this Warrant, pursuant to the terms hereof.</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D-4 </w:t>
      </w:r>
    </w:p>
    <w:p>
      <w:pPr>
        <w:pStyle w:val="TextBody"/>
        <w:bidi w:val="0"/>
        <w:spacing w:before="0" w:after="0"/>
        <w:ind w:left="0" w:right="0" w:hanging="0"/>
        <w:jc w:val="left"/>
        <w:rPr/>
      </w:pPr>
      <w:r>
        <w:rPr/>
        <w:t>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Holder’s Exercise Limitations</w:t>
      </w:r>
      <w:r>
        <w:rPr>
          <w:rFonts w:ascii="Times New Roman;Times;Serif" w:hAnsi="Times New Roman;Times;Serif"/>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sz w:val="20"/>
          <w:u w:val="single"/>
        </w:rPr>
        <w:t>Attribution Parties</w:t>
      </w:r>
      <w:r>
        <w:rPr>
          <w:rFonts w:ascii="Times New Roman;Times;Serif" w:hAnsi="Times New Roman;Times;Serif"/>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set forth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representation to the Company that such Notice of Exercise does not violate the restrictions set forth in this paragraph, and the determination by the Holder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provided that for purposes of this Section 2(e), the Holder shall be entitled to rely on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In addition, a determination as to any group status as contemplated above shall be determined in accordance with Section 13(d)(3) of the Exchange Act and the rules and regulations promulgated thereunder. Upon the written or oral request of the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sz w:val="20"/>
          <w:u w:val="single"/>
        </w:rPr>
        <w:t>Beneficial Ownership Limitation</w:t>
      </w:r>
      <w:r>
        <w:rPr>
          <w:rFonts w:ascii="Times New Roman;Times;Serif" w:hAnsi="Times New Roman;Times;Serif"/>
          <w:sz w:val="20"/>
        </w:rPr>
        <w:t>” shall be 9.99% of the number of shares of Common Stock outstanding immediately after giving effect to the issuance of shares of Common Stock issuable upon exercise of this Warrant. In the event that the issuance of shares of Common Stock to the Holder upon exercise of this Warrant results or would result in the Holder together with any Affiliates and Attribution Parties being deemed to beneficially own, in the aggregate, a number of outstanding shares of Common Stock in excess of the Beneficial Ownership Limitation (as determined under Section 13(d) of the Exchange Act), the number of shares so issued by which the Holder’s together with its Affiliates’ and Attribution Parties’ aggregate beneficial ownership of shares of Common Stock exceeds the Beneficial Ownership Limitation (the “</w:t>
      </w:r>
      <w:r>
        <w:rPr>
          <w:rFonts w:ascii="Times New Roman;Times;Serif" w:hAnsi="Times New Roman;Times;Serif"/>
          <w:sz w:val="20"/>
          <w:u w:val="single"/>
        </w:rPr>
        <w:t>Excess Shares</w:t>
      </w:r>
      <w:r>
        <w:rPr>
          <w:rFonts w:ascii="Times New Roman;Times;Serif" w:hAnsi="Times New Roman;Times;Serif"/>
          <w:sz w:val="20"/>
        </w:rPr>
        <w:t>”) shall be deemed null and void and shall be cancelled ab initio, and the Holder shall not have the power to vote or to transfer the Excess Shares.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position w:val="7"/>
          <w:sz w:val="16"/>
          <w:sz w:val="20"/>
        </w:rPr>
        <w:t>st</w:t>
      </w:r>
      <w:r>
        <w:rPr>
          <w:rFonts w:ascii="Times New Roman;Times;Serif" w:hAnsi="Times New Roman;Times;Serif"/>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D-5 </w:t>
      </w:r>
    </w:p>
    <w:p>
      <w:pPr>
        <w:pStyle w:val="TextBody"/>
        <w:bidi w:val="0"/>
        <w:spacing w:before="0" w:after="0"/>
        <w:ind w:left="0" w:right="0" w:hanging="0"/>
        <w:jc w:val="left"/>
        <w:rPr/>
      </w:pPr>
      <w:r>
        <w:rPr/>
        <w:t>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Issuance Restrictions</w:t>
      </w:r>
      <w:r>
        <w:rPr>
          <w:rFonts w:ascii="Times New Roman;Times;Serif" w:hAnsi="Times New Roman;Times;Serif"/>
          <w:sz w:val="20"/>
        </w:rPr>
        <w:t>. Notwithstanding anything herein to the contrary, if the Company has not obtained Shareholder Approval, then the Company may not issue upon exercise of this Warrant, in whole or in part, a number of shares of Common Stock which, when aggregated with any shares of Common Stock issued (i) pursuant to the conversion of any Preferred Stock issued pursuant to the Purchase Agreement and (ii) upon prior exercise of this or any other Warrant issued pursuant to the Purchase Agreement, would exceed the Issuable Maximum (as defined in the Purchase Agreement). The Holder relative to the holders of the other Warrants issued pursuant to the Purchase Agreement shall be entitled to its pro rata portion of the Issuable Maximum equal to the quotient obtained by dividing (x) the Holder’s original Subscription Amount by (y) the aggregate original Subscription Amount of all holders pursuant to the Purchase Agreement. In addition, the Holder may allocate its pro-rata portion of the Issuable Maximum among Warrants held by it in its sole discretion. Such pro rata portion shall be adjusted upward ratably in the event a Purchaser no longer holds any Warrants and the amount of shares issued to such Purchaser pursuant to its Warrants was less than such Purchaser’s pro-rata share of the Issuable Maximum. For avoidance of doubt, unless and until any required Shareholder Approval is obtained and effective, warrants issued to any registered broker-dealer as a fee in connection with the Securities issued pursuant to the Purchase Agreement as described in clause (iii) above shall provide that such warrants shall not be allocated any portion of the Issuable Maximum and shall be unexercisable unless and until such Shareholder Approval is obtained and effective.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Section 3</w:t>
      </w:r>
      <w:r>
        <w:rPr>
          <w:rFonts w:ascii="Times New Roman;Times;Serif" w:hAnsi="Times New Roman;Times;Serif"/>
          <w:sz w:val="20"/>
        </w:rPr>
        <w:t>.</w:t>
        <w:tab/>
      </w:r>
      <w:r>
        <w:rPr>
          <w:rFonts w:ascii="Times New Roman;Times;Serif" w:hAnsi="Times New Roman;Times;Serif"/>
          <w:sz w:val="20"/>
          <w:u w:val="single"/>
        </w:rPr>
        <w:t>Certain Adjustments</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Stock Dividends and Splits</w:t>
      </w:r>
      <w:r>
        <w:rPr>
          <w:rFonts w:ascii="Times New Roman;Times;Serif" w:hAnsi="Times New Roman;Times;Serif"/>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a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Subsequent Equity Sales</w:t>
      </w:r>
      <w:r>
        <w:rPr>
          <w:rFonts w:ascii="Times New Roman;Times;Serif" w:hAnsi="Times New Roman;Times;Serif"/>
          <w:sz w:val="20"/>
        </w:rPr>
        <w:t>. If the Company or any Subsidiary thereof, as applicable, at any time while this Warrant is outstanding, shall sell, enter into an agreement to sell, or grant any option to purchase, or sell or grant any right to reprice, or otherwise dispose of or issue (or announce any offer, sale, grant or any option to purchase or other disposition) any Common Stock or Common Stock Equivalents, at an effective price per share less than the Exercise Price then in effect (such lower price, the “</w:t>
      </w:r>
      <w:r>
        <w:rPr>
          <w:rFonts w:ascii="Times New Roman;Times;Serif" w:hAnsi="Times New Roman;Times;Serif"/>
          <w:sz w:val="20"/>
          <w:u w:val="single"/>
        </w:rPr>
        <w:t>Base Share Price</w:t>
      </w:r>
      <w:r>
        <w:rPr>
          <w:rFonts w:ascii="Times New Roman;Times;Serif" w:hAnsi="Times New Roman;Times;Serif"/>
          <w:sz w:val="20"/>
        </w:rPr>
        <w:t>” and such issuances collectively, a “</w:t>
      </w:r>
      <w:r>
        <w:rPr>
          <w:rFonts w:ascii="Times New Roman;Times;Serif" w:hAnsi="Times New Roman;Times;Serif"/>
          <w:sz w:val="20"/>
          <w:u w:val="single"/>
        </w:rPr>
        <w:t>Dilutive Issuance</w:t>
      </w:r>
      <w:r>
        <w:rPr>
          <w:rFonts w:ascii="Times New Roman;Times;Serif" w:hAnsi="Times New Roman;Times;Serif"/>
          <w:sz w:val="20"/>
        </w:rPr>
        <w:t>”) (it being understood and agreed that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less than the Exercise Price, such issuance shall be deemed to have occurred for less than the Exercise Price on such date of the Dilutive Issuance at such effective price), then simultaneously with the consummation (or, if earlier, the announcement) of each Dilutive Issuance the Exercise Price shall be reduced to equal the Base Share Price, provided that the Base Share Price shall not be less than Floor Price. Notwithstanding the foregoing, no adjustments shall be made, paid or issued under this Section 3(b) in respect of an Exempt Issuance. The Company shall notify the Holder, in writing, no later than the Trading Day following the issuance or deemed issuance of any Common Stock or Common Stock Equivalents subject to this Section 3(b), indicating therein the applicable issuance price, or applicable reset price, exchange price, conversion price and other pricing terms (such notice, the “</w:t>
      </w:r>
      <w:r>
        <w:rPr>
          <w:rFonts w:ascii="Times New Roman;Times;Serif" w:hAnsi="Times New Roman;Times;Serif"/>
          <w:sz w:val="20"/>
          <w:u w:val="single"/>
        </w:rPr>
        <w:t>Dilutive Issuance Notice</w:t>
      </w:r>
      <w:r>
        <w:rPr>
          <w:rFonts w:ascii="Times New Roman;Times;Serif" w:hAnsi="Times New Roman;Times;Serif"/>
          <w:sz w:val="20"/>
        </w:rPr>
        <w:t xml:space="preserve">”). For purposes of clarification, whether or not the Company provides a Dilutive Issuance Notice pursuant to this Section 3(b), upon the occurrence of any Dilutive Issuance, the Holder is entitled to receive a number of Warrant Shares based upon the Base Share Price on or after the date of such Dilutive Issuance, regardless of whether the Holder accurately refers to the Base Share Price in the Notice of Exercise.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Subsequent Rights Offerings</w:t>
      </w:r>
      <w:r>
        <w:rPr>
          <w:rFonts w:ascii="Times New Roman;Times;Serif" w:hAnsi="Times New Roman;Times;Serif"/>
          <w:sz w:val="20"/>
        </w:rPr>
        <w:t>. In addition to any adjustments pursuant to Section 3(a) above, if at any time the Company grants, issues or sells any Common Stock Equivalents or rights to purchase stock, warrants, securities or other property pro rata to all or substantially all of the record holders of any class of shares of Common Stock (the “</w:t>
      </w:r>
      <w:r>
        <w:rPr>
          <w:rFonts w:ascii="Times New Roman;Times;Serif" w:hAnsi="Times New Roman;Times;Serif"/>
          <w:sz w:val="20"/>
          <w:u w:val="single"/>
        </w:rPr>
        <w:t>Purchase Rights</w:t>
      </w:r>
      <w:r>
        <w:rPr>
          <w:rFonts w:ascii="Times New Roman;Times;Serif" w:hAnsi="Times New Roman;Times;Serif"/>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to the extent that the Holder’s right to participate in any such Purchase Right would result in the Holder exceeding the Beneficial Ownership Limitation or the Company’s issuance of shares in excess of the Issuable Maximum,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or the Company’s issuance of shares in excess of the Issuable Maximum, as applicable).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D-6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Pro Rata Distributions</w:t>
      </w:r>
      <w:r>
        <w:rPr>
          <w:rFonts w:ascii="Times New Roman;Times;Serif" w:hAnsi="Times New Roman;Times;Serif"/>
          <w:sz w:val="20"/>
        </w:rPr>
        <w:t>. During such time as this Warrant is outstanding, if the Company shall declare or make any dividend or other distribution of its assets (or rights to acquire its assets) to all or substantially all of the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sz w:val="20"/>
          <w:u w:val="single"/>
        </w:rPr>
        <w:t>Distribution</w:t>
      </w:r>
      <w:r>
        <w:rPr>
          <w:rFonts w:ascii="Times New Roman;Times;Serif" w:hAnsi="Times New Roman;Times;Serif"/>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to the extent that the Holder's right to participate in any such Distribution would result in the Holder exceeding the Beneficial Ownership Limitation or the Company’s issuance of shares in excess of the Issuable Maximum,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or the Company’s issuance of shares in excess of the Issuable Maximum, as applicable).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Fundamental Transaction</w:t>
      </w:r>
      <w:r>
        <w:rPr>
          <w:rFonts w:ascii="Times New Roman;Times;Serif" w:hAnsi="Times New Roman;Times;Serif"/>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Times;Serif" w:hAnsi="Times New Roman;Times;Serif"/>
          <w:sz w:val="20"/>
          <w:u w:val="single"/>
        </w:rPr>
        <w:t>Fundamental Transaction</w:t>
      </w:r>
      <w:r>
        <w:rPr>
          <w:rFonts w:ascii="Times New Roman;Times;Serif" w:hAnsi="Times New Roman;Times;Serif"/>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sz w:val="20"/>
          <w:u w:val="single"/>
        </w:rPr>
        <w:t>Alternate Consideration</w:t>
      </w:r>
      <w:r>
        <w:rPr>
          <w:rFonts w:ascii="Times New Roman;Times;Serif" w:hAnsi="Times New Roman;Times;Serif"/>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sz w:val="20"/>
          <w:u w:val="single"/>
        </w:rPr>
        <w:t>Successor Entity</w:t>
      </w:r>
      <w:r>
        <w:rPr>
          <w:rFonts w:ascii="Times New Roman;Times;Serif" w:hAnsi="Times New Roman;Times;Serif"/>
          <w:sz w:val="20"/>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D-7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Calculations</w:t>
      </w:r>
      <w:r>
        <w:rPr>
          <w:rFonts w:ascii="Times New Roman;Times;Serif" w:hAnsi="Times New Roman;Times;Serif"/>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Notice to Holder</w:t>
      </w:r>
      <w:r>
        <w:rPr>
          <w:rFonts w:ascii="Times New Roman;Times;Serif" w:hAnsi="Times New Roman;Times;Serif"/>
          <w:sz w:val="20"/>
        </w:rPr>
        <w:t xml:space="preserve">. </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Adjustment to Exercise Price</w:t>
      </w:r>
      <w:r>
        <w:rPr>
          <w:rFonts w:ascii="Times New Roman;Times;Serif" w:hAnsi="Times New Roman;Times;Serif"/>
          <w:sz w:val="20"/>
        </w:rPr>
        <w:t xml:space="preserv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Notice to Allow Exercise by Holder</w:t>
      </w:r>
      <w:r>
        <w:rPr>
          <w:rFonts w:ascii="Times New Roman;Times;Serif" w:hAnsi="Times New Roman;Times;Serif"/>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Voluntary Adjustment By Company</w:t>
      </w:r>
      <w:r>
        <w:rPr>
          <w:rFonts w:ascii="Times New Roman;Times;Serif" w:hAnsi="Times New Roman;Times;Serif"/>
          <w:sz w:val="20"/>
        </w:rPr>
        <w:t>. Subject to the rules and regulations of the Trading Market, the Company may at any time during the term of this Warrant reduce the then-current Exercise Price to any amount and for any period of time deemed appropriate by unanimous consent of the independent directors serving on the Board.</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D-8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Section 4</w:t>
      </w:r>
      <w:r>
        <w:rPr>
          <w:rFonts w:ascii="Times New Roman;Times;Serif" w:hAnsi="Times New Roman;Times;Serif"/>
          <w:sz w:val="20"/>
        </w:rPr>
        <w:t>.</w:t>
        <w:tab/>
      </w:r>
      <w:r>
        <w:rPr>
          <w:rFonts w:ascii="Times New Roman;Times;Serif" w:hAnsi="Times New Roman;Times;Serif"/>
          <w:sz w:val="20"/>
          <w:u w:val="single"/>
        </w:rPr>
        <w:t>Transfer of Warrant</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Transferability</w:t>
      </w:r>
      <w:r>
        <w:rPr>
          <w:rFonts w:ascii="Times New Roman;Times;Serif" w:hAnsi="Times New Roman;Times;Serif"/>
          <w:sz w:val="20"/>
        </w:rPr>
        <w:t xml:space="preserve">.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New Warrants</w:t>
      </w:r>
      <w:r>
        <w:rPr>
          <w:rFonts w:ascii="Times New Roman;Times;Serif" w:hAnsi="Times New Roman;Times;Serif"/>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Warrant Register</w:t>
      </w:r>
      <w:r>
        <w:rPr>
          <w:rFonts w:ascii="Times New Roman;Times;Serif" w:hAnsi="Times New Roman;Times;Serif"/>
          <w:sz w:val="20"/>
        </w:rPr>
        <w:t>. The Company shall register this Warrant, upon records to be maintained by the Company for that purpose (the “</w:t>
      </w:r>
      <w:r>
        <w:rPr>
          <w:rFonts w:ascii="Times New Roman;Times;Serif" w:hAnsi="Times New Roman;Times;Serif"/>
          <w:sz w:val="20"/>
          <w:u w:val="single"/>
        </w:rPr>
        <w:t>Warrant Register</w:t>
      </w:r>
      <w:r>
        <w:rPr>
          <w:rFonts w:ascii="Times New Roman;Times;Serif" w:hAnsi="Times New Roman;Times;Serif"/>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Transfer Restrictions</w:t>
      </w:r>
      <w:r>
        <w:rPr>
          <w:rFonts w:ascii="Times New Roman;Times;Serif" w:hAnsi="Times New Roman;Times;Serif"/>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Representation by the Holder</w:t>
      </w:r>
      <w:r>
        <w:rPr>
          <w:rFonts w:ascii="Times New Roman;Times;Serif" w:hAnsi="Times New Roman;Times;Serif"/>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D-9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Section 5</w:t>
      </w:r>
      <w:r>
        <w:rPr>
          <w:rFonts w:ascii="Times New Roman;Times;Serif" w:hAnsi="Times New Roman;Times;Serif"/>
          <w:sz w:val="20"/>
        </w:rPr>
        <w:t>.</w:t>
        <w:tab/>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 Rights as Stockholder Until Exercise; No Settlement in Cash</w:t>
      </w:r>
      <w:r>
        <w:rPr>
          <w:rFonts w:ascii="Times New Roman;Times;Serif" w:hAnsi="Times New Roman;Times;Serif"/>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Loss, Theft, Destruction or Mutilation of Warrant</w:t>
      </w:r>
      <w:r>
        <w:rPr>
          <w:rFonts w:ascii="Times New Roman;Times;Serif" w:hAnsi="Times New Roman;Times;Serif"/>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Saturdays, Sundays, Holidays, etc</w:t>
      </w:r>
      <w:r>
        <w:rPr>
          <w:rFonts w:ascii="Times New Roman;Times;Serif" w:hAnsi="Times New Roman;Times;Serif"/>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Authorized Shares</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Reservation of Authorized and Unissued Shares</w:t>
            </w:r>
            <w:r>
              <w:rPr>
                <w:rFonts w:ascii="Times New Roman;Times;Serif" w:hAnsi="Times New Roman;Times;Serif"/>
                <w:sz w:val="20"/>
              </w:rPr>
              <w:t>. The Company covenants that, during the period the Warrant is outstanding, it will reserve from its authorized and unissued Common Stock the Issuable Maximum and, from and after the date on which the Company has sufficient authorized and unissued shares of Common Stock available therefor, including following receipt of the Shareholder Approval and effectiveness of any related amendment to the Company’s articles of incorporation, a sufficient number of shares to provide for the issuance of the Warrant Shares upon exercise of the purchase rights under this Warrant. If at any time while this Warrant remains outstanding the Company does not have a sufficient number of authorized and unissued shares of Common Stock available to reserve for issuance upon exercise of this Warrant, the Company shall use commercially reasonable efforts to obtain the Shareholder Approval and take such other corporate action as may be necessary to increase its authorized shares of Common Stock or otherwise make a sufficient number of shares available for issuance upon exercise of this Warrant, in each case subject to the terms and conditions set forth in Section 4.11 of the Purchase Agreements. The Company further covenants that following the availability of a sufficient number of authorized and unissued shares of Common Stock, its issuance of this Warrant shall constitute full authority to its officers who are charged with the duty of issuing the applicable Warrant Shares upon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when issued in accordance with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D-10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Non-Circumvention</w:t>
            </w:r>
            <w:r>
              <w:rPr>
                <w:rFonts w:ascii="Times New Roman;Times;Serif" w:hAnsi="Times New Roman;Times;Serif"/>
                <w:sz w:val="20"/>
              </w:rPr>
              <w:t>. Except and to the extent as waived or consented to by Holders of a majority in interest of the Warrants then outstanding,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tc>
      </w:tr>
    </w:tbl>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Authorization, Exemptions, and Consents</w:t>
            </w:r>
            <w:r>
              <w:rPr>
                <w:rFonts w:ascii="Times New Roman;Times;Serif" w:hAnsi="Times New Roman;Times;Serif"/>
                <w:sz w:val="20"/>
              </w:rPr>
              <w: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tc>
      </w:tr>
    </w:tbl>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Jurisdiction</w:t>
      </w:r>
      <w:r>
        <w:rPr>
          <w:rFonts w:ascii="Times New Roman;Times;Serif" w:hAnsi="Times New Roman;Times;Serif"/>
          <w:sz w:val="20"/>
        </w:rPr>
        <w:t>. All questions concerning the construction, validity, enforcement and interpretation of this Warrant shall be determined in accordance with the provisions of the Purchase Agreement.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Restrictions</w:t>
      </w:r>
      <w:r>
        <w:rPr>
          <w:rFonts w:ascii="Times New Roman;Times;Serif" w:hAnsi="Times New Roman;Times;Serif"/>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Nonwaiver and Expenses</w:t>
      </w:r>
      <w:r>
        <w:rPr>
          <w:rFonts w:ascii="Times New Roman;Times;Serif" w:hAnsi="Times New Roman;Times;Serif"/>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D-11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Notices</w:t>
      </w:r>
      <w:r>
        <w:rPr>
          <w:rFonts w:ascii="Times New Roman;Times;Serif" w:hAnsi="Times New Roman;Times;Serif"/>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Limitation of Liability</w:t>
      </w:r>
      <w:r>
        <w:rPr>
          <w:rFonts w:ascii="Times New Roman;Times;Serif" w:hAnsi="Times New Roman;Times;Serif"/>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Remedies</w:t>
      </w:r>
      <w:r>
        <w:rPr>
          <w:rFonts w:ascii="Times New Roman;Times;Serif" w:hAnsi="Times New Roman;Times;Serif"/>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k)                  </w:t>
      </w:r>
      <w:r>
        <w:rPr>
          <w:rFonts w:ascii="Times New Roman;Times;Serif" w:hAnsi="Times New Roman;Times;Serif"/>
          <w:sz w:val="20"/>
          <w:u w:val="single"/>
        </w:rPr>
        <w:t>Successors and Assigns</w:t>
      </w:r>
      <w:r>
        <w:rPr>
          <w:rFonts w:ascii="Times New Roman;Times;Serif" w:hAnsi="Times New Roman;Times;Serif"/>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l)                    </w:t>
      </w:r>
      <w:r>
        <w:rPr>
          <w:rFonts w:ascii="Times New Roman;Times;Serif" w:hAnsi="Times New Roman;Times;Serif"/>
          <w:sz w:val="20"/>
          <w:u w:val="single"/>
        </w:rPr>
        <w:t>Amendment</w:t>
      </w:r>
      <w:r>
        <w:rPr>
          <w:rFonts w:ascii="Times New Roman;Times;Serif" w:hAnsi="Times New Roman;Times;Serif"/>
          <w:sz w:val="20"/>
        </w:rPr>
        <w:t>. Other than Section 2(e) above and this Section 5(l), which may not be amended, modified or waived, this Warrant may be modified or amended or the provisions hereof waived with the written consent of the Company and the Holder.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m)                 </w:t>
      </w:r>
      <w:r>
        <w:rPr>
          <w:rFonts w:ascii="Times New Roman;Times;Serif" w:hAnsi="Times New Roman;Times;Serif"/>
          <w:sz w:val="20"/>
          <w:u w:val="single"/>
        </w:rPr>
        <w:t>Severability</w:t>
      </w:r>
      <w:r>
        <w:rPr>
          <w:rFonts w:ascii="Times New Roman;Times;Serif" w:hAnsi="Times New Roman;Times;Serif"/>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n)                  </w:t>
      </w:r>
      <w:r>
        <w:rPr>
          <w:rFonts w:ascii="Times New Roman;Times;Serif" w:hAnsi="Times New Roman;Times;Serif"/>
          <w:sz w:val="20"/>
          <w:u w:val="single"/>
        </w:rPr>
        <w:t>Headings</w:t>
      </w:r>
      <w:r>
        <w:rPr>
          <w:rFonts w:ascii="Times New Roman;Times;Serif" w:hAnsi="Times New Roman;Times;Serif"/>
          <w:sz w:val="20"/>
        </w:rPr>
        <w:t>. The headings used in this Warrant are for the convenience of reference only and shall not, for any purpose, be deemed a part of this Warrant.</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120"/>
        <w:ind w:left="0" w:right="0" w:hanging="0"/>
        <w:jc w:val="left"/>
        <w:rPr/>
      </w:pPr>
      <w:r>
        <w:rPr/>
        <w:t> </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D-12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WITNESS WHEREOF, the Company has caused this Warrant to be executed by its officer thereunto duly authorized as of the date first above indicated.</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jc w:val="left"/>
              <w:rPr>
                <w:rFonts w:ascii="Times New Roman;Times;Serif" w:hAnsi="Times New Roman;Times;Serif"/>
                <w:b/>
                <w:caps/>
                <w:sz w:val="20"/>
              </w:rPr>
            </w:pPr>
            <w:r>
              <w:rPr>
                <w:rFonts w:ascii="Times New Roman;Times;Serif" w:hAnsi="Times New Roman;Times;Serif"/>
                <w:b/>
                <w:caps/>
                <w:sz w:val="20"/>
              </w:rPr>
              <w:t>expion ENERGY, inc.</w:t>
            </w:r>
          </w:p>
          <w:p>
            <w:pPr>
              <w:pStyle w:val="TableContents"/>
              <w:bidi w:val="0"/>
              <w:jc w:val="left"/>
              <w:rPr/>
            </w:pPr>
            <w:r>
              <w:rPr/>
              <w:t> </w:t>
            </w:r>
          </w:p>
          <w:p>
            <w:pPr>
              <w:pStyle w:val="TableContents"/>
              <w:bidi w:val="0"/>
              <w:spacing w:before="0" w:after="283"/>
              <w:jc w:val="left"/>
              <w:rPr/>
            </w:pPr>
            <w:r>
              <w:rPr/>
              <w:t> </w:t>
            </w:r>
          </w:p>
        </w:tc>
      </w:tr>
      <w:tr>
        <w:trPr/>
        <w:tc>
          <w:tcPr>
            <w:tcW w:w="476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Name:</w:t>
            </w:r>
          </w:p>
          <w:p>
            <w:pPr>
              <w:pStyle w:val="TableContents"/>
              <w:bidi w:val="0"/>
              <w:spacing w:before="0" w:after="283"/>
              <w:ind w:left="0" w:right="0" w:firstLine="36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jc w:val="both"/>
        <w:rPr/>
      </w:pPr>
      <w:r>
        <w:rPr/>
        <w:t> </w:t>
      </w:r>
    </w:p>
    <w:p>
      <w:pPr>
        <w:pStyle w:val="TextBody"/>
        <w:bidi w:val="0"/>
        <w:ind w:left="0" w:right="0" w:firstLine="360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D-13 </w:t>
      </w:r>
    </w:p>
    <w:p>
      <w:pPr>
        <w:pStyle w:val="TextBody"/>
        <w:bidi w:val="0"/>
        <w:spacing w:before="0" w:after="0"/>
        <w:ind w:left="0" w:right="0" w:hanging="0"/>
        <w:jc w:val="left"/>
        <w:rPr/>
      </w:pPr>
      <w:r>
        <w:rPr/>
        <w:t> </w:t>
      </w:r>
    </w:p>
    <w:p>
      <w:pPr>
        <w:pStyle w:val="TextBody"/>
        <w:bidi w:val="0"/>
        <w:ind w:left="0" w:right="0" w:firstLine="720"/>
        <w:jc w:val="both"/>
        <w:rPr/>
      </w:pPr>
      <w:r>
        <w:rPr/>
        <w:t>       </w:t>
      </w:r>
    </w:p>
    <w:p>
      <w:pPr>
        <w:pStyle w:val="TextBody"/>
        <w:bidi w:val="0"/>
        <w:jc w:val="right"/>
        <w:rPr>
          <w:rFonts w:ascii="Times New Roman;Times;Serif" w:hAnsi="Times New Roman;Times;Serif"/>
          <w:b/>
          <w:sz w:val="20"/>
        </w:rPr>
      </w:pPr>
      <w:r>
        <w:rPr>
          <w:rFonts w:ascii="Times New Roman;Times;Serif" w:hAnsi="Times New Roman;Times;Serif"/>
          <w:b/>
          <w:sz w:val="20"/>
        </w:rPr>
        <w:t>EXHIBIT A</w:t>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NOTICE OF EXERCISE</w:t>
      </w:r>
    </w:p>
    <w:p>
      <w:pPr>
        <w:pStyle w:val="TextBody"/>
        <w:bidi w:val="0"/>
        <w:jc w:val="both"/>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w:t>
      </w:r>
    </w:p>
    <w:p>
      <w:pPr>
        <w:pStyle w:val="TextBody"/>
        <w:bidi w:val="0"/>
        <w:spacing w:before="0" w:after="240"/>
        <w:ind w:left="0" w:right="0" w:hanging="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D-14 </w:t>
      </w:r>
    </w:p>
    <w:p>
      <w:pPr>
        <w:pStyle w:val="TextBody"/>
        <w:bidi w:val="0"/>
        <w:spacing w:before="0" w:after="0"/>
        <w:ind w:left="0" w:right="0" w:hanging="0"/>
        <w:jc w:val="left"/>
        <w:rPr/>
      </w:pPr>
      <w:r>
        <w:rPr/>
        <w:t> </w:t>
      </w:r>
    </w:p>
    <w:p>
      <w:pPr>
        <w:pStyle w:val="TextBody"/>
        <w:bidi w:val="0"/>
        <w:jc w:val="right"/>
        <w:rPr>
          <w:rFonts w:ascii="Times New Roman;Times;Serif" w:hAnsi="Times New Roman;Times;Serif"/>
          <w:sz w:val="20"/>
        </w:rPr>
      </w:pPr>
      <w:r>
        <w:rPr>
          <w:rFonts w:ascii="Times New Roman;Times;Serif" w:hAnsi="Times New Roman;Times;Serif"/>
          <w:sz w:val="20"/>
        </w:rPr>
        <w:tab/>
        <w:br/>
      </w:r>
      <w:r>
        <w:rPr>
          <w:rFonts w:ascii="Times New Roman;Times;Serif" w:hAnsi="Times New Roman;Times;Serif"/>
          <w:b/>
          <w:sz w:val="20"/>
        </w:rPr>
        <w:t>EXHIBIT B</w:t>
      </w:r>
    </w:p>
    <w:p>
      <w:pPr>
        <w:pStyle w:val="TextBody"/>
        <w:bidi w:val="0"/>
        <w:jc w:val="both"/>
        <w:rPr/>
      </w:pPr>
      <w:r>
        <w:rPr/>
        <w:t> </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ASSIGNMENT FORM</w:t>
      </w:r>
    </w:p>
    <w:p>
      <w:pPr>
        <w:pStyle w:val="TextBody"/>
        <w:bidi w:val="0"/>
        <w:spacing w:before="0" w:after="240"/>
        <w:jc w:val="both"/>
        <w:rPr>
          <w:rFonts w:ascii="Times New Roman;Times;Serif" w:hAnsi="Times New Roman;Times;Serif"/>
          <w:b w:val="false"/>
          <w:sz w:val="20"/>
        </w:rPr>
      </w:pPr>
      <w:r>
        <w:rPr>
          <w:rFonts w:ascii="Times New Roman;Times;Serif" w:hAnsi="Times New Roman;Times;Serif"/>
          <w:b w:val="false"/>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D-15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right"/>
        <w:rPr/>
      </w:pPr>
      <w:bookmarkStart w:id="32" w:name="ex_e.htm"/>
      <w:bookmarkStart w:id="33" w:name="ksex_e"/>
      <w:bookmarkEnd w:id="32"/>
      <w:bookmarkEnd w:id="33"/>
      <w:r>
        <w:rPr/>
        <w:t> </w:t>
      </w:r>
      <w:r>
        <w:rPr>
          <w:rFonts w:ascii="Times New Roman;Times;Serif" w:hAnsi="Times New Roman;Times;Serif"/>
          <w:b/>
          <w:sz w:val="20"/>
        </w:rPr>
        <w:t>Exhibit E</w:t>
      </w:r>
      <w:r>
        <w:br w:type="page"/>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FORM OF SECURITIES PURCHASE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Securities Purchase Agreement (this “</w:t>
      </w:r>
      <w:r>
        <w:rPr>
          <w:rFonts w:ascii="Times New Roman;Times;Serif" w:hAnsi="Times New Roman;Times;Serif"/>
          <w:sz w:val="20"/>
          <w:u w:val="single"/>
        </w:rPr>
        <w:t>Agreement</w:t>
      </w:r>
      <w:r>
        <w:rPr>
          <w:rFonts w:ascii="Times New Roman;Times;Serif" w:hAnsi="Times New Roman;Times;Serif"/>
          <w:sz w:val="20"/>
        </w:rPr>
        <w:t>”) is dated as of [__________], between Expion Energy, Inc., a Nevada corporation (the “</w:t>
      </w:r>
      <w:r>
        <w:rPr>
          <w:rFonts w:ascii="Times New Roman;Times;Serif" w:hAnsi="Times New Roman;Times;Serif"/>
          <w:sz w:val="20"/>
          <w:u w:val="single"/>
        </w:rPr>
        <w:t>Company</w:t>
      </w:r>
      <w:r>
        <w:rPr>
          <w:rFonts w:ascii="Times New Roman;Times;Serif" w:hAnsi="Times New Roman;Times;Serif"/>
          <w:sz w:val="20"/>
        </w:rPr>
        <w:t>”), and each purchaser identified on the signature pages hereto (each, including its successors and assigns, a “</w:t>
      </w:r>
      <w:r>
        <w:rPr>
          <w:rFonts w:ascii="Times New Roman;Times;Serif" w:hAnsi="Times New Roman;Times;Serif"/>
          <w:sz w:val="20"/>
          <w:u w:val="single"/>
        </w:rPr>
        <w:t>Purchaser</w:t>
      </w:r>
      <w:r>
        <w:rPr>
          <w:rFonts w:ascii="Times New Roman;Times;Serif" w:hAnsi="Times New Roman;Times;Serif"/>
          <w:sz w:val="20"/>
        </w:rPr>
        <w:t>” and collectively, the “</w:t>
      </w:r>
      <w:r>
        <w:rPr>
          <w:rFonts w:ascii="Times New Roman;Times;Serif" w:hAnsi="Times New Roman;Times;Serif"/>
          <w:sz w:val="20"/>
          <w:u w:val="single"/>
        </w:rPr>
        <w:t>Purchasers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subject to the terms and conditions set forth in this Agreement and pursuant to Section 4(a)(2) of the Securities Act (as defined below), and Rule 506 promulgated thereunder,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ARTICLE I.</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DEFINITIONS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1.1       </w:t>
      </w:r>
      <w:r>
        <w:rPr>
          <w:rFonts w:ascii="Times New Roman;Times;Serif" w:hAnsi="Times New Roman;Times;Serif"/>
          <w:sz w:val="20"/>
          <w:u w:val="single"/>
        </w:rPr>
        <w:t>Definitions</w:t>
      </w:r>
      <w:r>
        <w:rPr>
          <w:rFonts w:ascii="Times New Roman;Times;Serif" w:hAnsi="Times New Roman;Times;Serif"/>
          <w:sz w:val="20"/>
        </w:rPr>
        <w:t>. In addition to the terms defined elsewhere in this Agreement the following terms have the meanings set forth in this Section 1.1:</w:t>
      </w:r>
    </w:p>
    <w:p>
      <w:pPr>
        <w:pStyle w:val="TextBody"/>
        <w:bidi w:val="0"/>
        <w:spacing w:before="0" w:after="240"/>
        <w:ind w:left="720" w:right="0" w:firstLine="720"/>
        <w:jc w:val="both"/>
        <w:rPr/>
      </w:pPr>
      <w:r>
        <w:rPr/>
        <w:t>“</w:t>
      </w:r>
      <w:r>
        <w:rPr>
          <w:rFonts w:ascii="Times New Roman;Times;Serif" w:hAnsi="Times New Roman;Times;Serif"/>
          <w:sz w:val="20"/>
          <w:u w:val="single"/>
        </w:rPr>
        <w:t>Acquiring Person</w:t>
      </w:r>
      <w:r>
        <w:rPr>
          <w:rFonts w:ascii="Times New Roman;Times;Serif" w:hAnsi="Times New Roman;Times;Serif"/>
          <w:sz w:val="20"/>
        </w:rPr>
        <w:t>” shall have the meaning ascribed to such term in Section 4.7.</w:t>
      </w:r>
    </w:p>
    <w:p>
      <w:pPr>
        <w:pStyle w:val="TextBody"/>
        <w:bidi w:val="0"/>
        <w:spacing w:before="0" w:after="240"/>
        <w:ind w:left="720" w:right="0" w:firstLine="720"/>
        <w:jc w:val="both"/>
        <w:rPr/>
      </w:pPr>
      <w:r>
        <w:rPr/>
        <w:t>“</w:t>
      </w:r>
      <w:r>
        <w:rPr>
          <w:rFonts w:ascii="Times New Roman;Times;Serif" w:hAnsi="Times New Roman;Times;Serif"/>
          <w:sz w:val="20"/>
          <w:u w:val="single"/>
        </w:rPr>
        <w:t>Action</w:t>
      </w:r>
      <w:r>
        <w:rPr>
          <w:rFonts w:ascii="Times New Roman;Times;Serif" w:hAnsi="Times New Roman;Times;Serif"/>
          <w:sz w:val="20"/>
        </w:rPr>
        <w:t>” shall have the meaning ascribed to such term in Section 3.1(j).</w:t>
      </w:r>
    </w:p>
    <w:p>
      <w:pPr>
        <w:pStyle w:val="TextBody"/>
        <w:bidi w:val="0"/>
        <w:spacing w:before="0" w:after="240"/>
        <w:ind w:left="720" w:right="0" w:firstLine="720"/>
        <w:jc w:val="both"/>
        <w:rPr/>
      </w:pPr>
      <w:r>
        <w:rPr/>
        <w:t>“</w:t>
      </w:r>
      <w:r>
        <w:rPr>
          <w:rFonts w:ascii="Times New Roman;Times;Serif" w:hAnsi="Times New Roman;Times;Serif"/>
          <w:sz w:val="20"/>
          <w:u w:val="single"/>
        </w:rPr>
        <w:t>Additional Closing</w:t>
      </w:r>
      <w:r>
        <w:rPr>
          <w:rFonts w:ascii="Times New Roman;Times;Serif" w:hAnsi="Times New Roman;Times;Serif"/>
          <w:sz w:val="20"/>
        </w:rPr>
        <w:t>” means each closing of the purchase and sale of Additional Shares pursuant to an exercise of the Additional Investment Right under Section 4.17.</w:t>
      </w:r>
    </w:p>
    <w:p>
      <w:pPr>
        <w:pStyle w:val="TextBody"/>
        <w:bidi w:val="0"/>
        <w:spacing w:before="0" w:after="240"/>
        <w:ind w:left="720" w:right="0" w:firstLine="720"/>
        <w:jc w:val="both"/>
        <w:rPr/>
      </w:pPr>
      <w:r>
        <w:rPr/>
        <w:t>“</w:t>
      </w:r>
      <w:r>
        <w:rPr>
          <w:rFonts w:ascii="Times New Roman;Times;Serif" w:hAnsi="Times New Roman;Times;Serif"/>
          <w:sz w:val="20"/>
          <w:u w:val="single"/>
        </w:rPr>
        <w:t>Additional Closing Date</w:t>
      </w:r>
      <w:r>
        <w:rPr>
          <w:rFonts w:ascii="Times New Roman;Times;Serif" w:hAnsi="Times New Roman;Times;Serif"/>
          <w:sz w:val="20"/>
        </w:rPr>
        <w:t>” shall have the meaning ascribed to such term in Section 4.17.</w:t>
      </w:r>
    </w:p>
    <w:p>
      <w:pPr>
        <w:pStyle w:val="TextBody"/>
        <w:bidi w:val="0"/>
        <w:spacing w:before="0" w:after="240"/>
        <w:ind w:left="720" w:right="0" w:firstLine="720"/>
        <w:jc w:val="both"/>
        <w:rPr/>
      </w:pPr>
      <w:r>
        <w:rPr/>
        <w:t>“</w:t>
      </w:r>
      <w:r>
        <w:rPr>
          <w:rFonts w:ascii="Times New Roman;Times;Serif" w:hAnsi="Times New Roman;Times;Serif"/>
          <w:sz w:val="20"/>
          <w:u w:val="single"/>
        </w:rPr>
        <w:t>Additional Investment Right</w:t>
      </w:r>
      <w:r>
        <w:rPr>
          <w:rFonts w:ascii="Times New Roman;Times;Serif" w:hAnsi="Times New Roman;Times;Serif"/>
          <w:sz w:val="20"/>
        </w:rPr>
        <w:t>” shall have the meaning ascribed to such term in Section 4.17.</w:t>
      </w:r>
    </w:p>
    <w:p>
      <w:pPr>
        <w:pStyle w:val="TextBody"/>
        <w:bidi w:val="0"/>
        <w:spacing w:before="0" w:after="240"/>
        <w:ind w:left="720" w:right="0" w:firstLine="720"/>
        <w:jc w:val="both"/>
        <w:rPr/>
      </w:pPr>
      <w:r>
        <w:rPr/>
        <w:t>“</w:t>
      </w:r>
      <w:r>
        <w:rPr>
          <w:rFonts w:ascii="Times New Roman;Times;Serif" w:hAnsi="Times New Roman;Times;Serif"/>
          <w:sz w:val="20"/>
          <w:u w:val="single"/>
        </w:rPr>
        <w:t>Additional Shares</w:t>
      </w:r>
      <w:r>
        <w:rPr>
          <w:rFonts w:ascii="Times New Roman;Times;Serif" w:hAnsi="Times New Roman;Times;Serif"/>
          <w:sz w:val="20"/>
        </w:rPr>
        <w:t>” shall have the meaning ascribed to such term in Section 4.17.</w:t>
      </w:r>
    </w:p>
    <w:p>
      <w:pPr>
        <w:pStyle w:val="TextBody"/>
        <w:bidi w:val="0"/>
        <w:spacing w:before="0" w:after="240"/>
        <w:ind w:left="720" w:right="0" w:firstLine="720"/>
        <w:jc w:val="both"/>
        <w:rPr/>
      </w:pPr>
      <w:r>
        <w:rPr/>
        <w:t>“</w:t>
      </w:r>
      <w:r>
        <w:rPr>
          <w:rFonts w:ascii="Times New Roman;Times;Serif" w:hAnsi="Times New Roman;Times;Serif"/>
          <w:sz w:val="20"/>
          <w:u w:val="single"/>
        </w:rPr>
        <w:t>Affiliate</w:t>
      </w:r>
      <w:r>
        <w:rPr>
          <w:rFonts w:ascii="Times New Roman;Times;Serif" w:hAnsi="Times New Roman;Times;Serif"/>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240"/>
        <w:ind w:left="720" w:right="0" w:firstLine="720"/>
        <w:jc w:val="both"/>
        <w:rPr/>
      </w:pPr>
      <w:r>
        <w:rPr/>
        <w:t>“</w:t>
      </w:r>
      <w:r>
        <w:rPr>
          <w:rFonts w:ascii="Times New Roman;Times;Serif" w:hAnsi="Times New Roman;Times;Serif"/>
          <w:sz w:val="20"/>
          <w:u w:val="single"/>
        </w:rPr>
        <w:t>Board of Directors</w:t>
      </w:r>
      <w:r>
        <w:rPr>
          <w:rFonts w:ascii="Times New Roman;Times;Serif" w:hAnsi="Times New Roman;Times;Serif"/>
          <w:sz w:val="20"/>
        </w:rPr>
        <w:t>” means the board of directors of the Company.</w:t>
      </w:r>
    </w:p>
    <w:p>
      <w:pPr>
        <w:pStyle w:val="TextBody"/>
        <w:bidi w:val="0"/>
        <w:spacing w:before="0" w:after="240"/>
        <w:ind w:left="72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xml:space="preserve">” means any day other than Saturday, Sunday or other day on which commercial banks in The City of New York are authorized or required by law to remain closed;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E-1 </w:t>
      </w:r>
    </w:p>
    <w:p>
      <w:pPr>
        <w:pStyle w:val="TextBody"/>
        <w:bidi w:val="0"/>
        <w:spacing w:before="0" w:after="0"/>
        <w:ind w:left="0" w:right="0" w:hanging="0"/>
        <w:jc w:val="left"/>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Certificate of Designation</w:t>
      </w:r>
      <w:r>
        <w:rPr>
          <w:rFonts w:ascii="Times New Roman;Times;Serif" w:hAnsi="Times New Roman;Times;Serif"/>
          <w:sz w:val="20"/>
        </w:rPr>
        <w:t xml:space="preserve">” means the Certificate of Designation of the Series A-1 Convertible Preferred Stock to be filed following Shareholder Approval by the Company with the Secretary of State of Nevada, in the form of </w:t>
      </w:r>
      <w:r>
        <w:rPr>
          <w:rFonts w:ascii="Times New Roman;Times;Serif" w:hAnsi="Times New Roman;Times;Serif"/>
          <w:sz w:val="20"/>
          <w:u w:val="single"/>
        </w:rPr>
        <w:t>Exhibit A</w:t>
      </w:r>
      <w:r>
        <w:rPr>
          <w:rFonts w:ascii="Times New Roman;Times;Serif" w:hAnsi="Times New Roman;Times;Serif"/>
          <w:sz w:val="20"/>
        </w:rPr>
        <w:t xml:space="preserve"> attached hereto.</w:t>
      </w:r>
    </w:p>
    <w:p>
      <w:pPr>
        <w:pStyle w:val="TextBody"/>
        <w:bidi w:val="0"/>
        <w:spacing w:before="0" w:after="240"/>
        <w:ind w:left="720" w:right="0" w:firstLine="720"/>
        <w:jc w:val="both"/>
        <w:rPr/>
      </w:pPr>
      <w:r>
        <w:rPr/>
        <w:t>“</w:t>
      </w:r>
      <w:r>
        <w:rPr>
          <w:rFonts w:ascii="Times New Roman;Times;Serif" w:hAnsi="Times New Roman;Times;Serif"/>
          <w:sz w:val="20"/>
          <w:u w:val="single"/>
        </w:rPr>
        <w:t>Closing</w:t>
      </w:r>
      <w:r>
        <w:rPr>
          <w:rFonts w:ascii="Times New Roman;Times;Serif" w:hAnsi="Times New Roman;Times;Serif"/>
          <w:sz w:val="20"/>
        </w:rPr>
        <w:t>” means the First Closing and each Additional Closing, as applicable.</w:t>
      </w:r>
    </w:p>
    <w:p>
      <w:pPr>
        <w:pStyle w:val="TextBody"/>
        <w:bidi w:val="0"/>
        <w:spacing w:before="0" w:after="240"/>
        <w:ind w:left="720" w:right="0" w:firstLine="720"/>
        <w:jc w:val="both"/>
        <w:rPr/>
      </w:pPr>
      <w:r>
        <w:rPr/>
        <w:t>“</w:t>
      </w:r>
      <w:r>
        <w:rPr>
          <w:rFonts w:ascii="Times New Roman;Times;Serif" w:hAnsi="Times New Roman;Times;Serif"/>
          <w:sz w:val="20"/>
          <w:u w:val="single"/>
        </w:rPr>
        <w:t>Closing Date</w:t>
      </w:r>
      <w:r>
        <w:rPr>
          <w:rFonts w:ascii="Times New Roman;Times;Serif" w:hAnsi="Times New Roman;Times;Serif"/>
          <w:sz w:val="20"/>
        </w:rPr>
        <w:t>” means the First Closing Date or the applicable Additional Closing Date, as the context requires.</w:t>
      </w:r>
    </w:p>
    <w:p>
      <w:pPr>
        <w:pStyle w:val="TextBody"/>
        <w:bidi w:val="0"/>
        <w:spacing w:before="0" w:after="240"/>
        <w:ind w:left="720" w:right="0" w:firstLine="720"/>
        <w:jc w:val="both"/>
        <w:rPr/>
      </w:pPr>
      <w:r>
        <w:rPr/>
        <w:t>“</w:t>
      </w:r>
      <w:r>
        <w:rPr>
          <w:rFonts w:ascii="Times New Roman;Times;Serif" w:hAnsi="Times New Roman;Times;Serif"/>
          <w:sz w:val="20"/>
          <w:u w:val="single"/>
        </w:rPr>
        <w:t>Commission</w:t>
      </w:r>
      <w:r>
        <w:rPr>
          <w:rFonts w:ascii="Times New Roman;Times;Serif" w:hAnsi="Times New Roman;Times;Serif"/>
          <w:sz w:val="20"/>
        </w:rPr>
        <w:t>” means the United States Securities and Exchange Commission.</w:t>
      </w:r>
    </w:p>
    <w:p>
      <w:pPr>
        <w:pStyle w:val="TextBody"/>
        <w:bidi w:val="0"/>
        <w:spacing w:before="0" w:after="240"/>
        <w:ind w:left="720" w:right="0" w:firstLine="720"/>
        <w:jc w:val="both"/>
        <w:rPr/>
      </w:pPr>
      <w:r>
        <w:rPr/>
        <w:t>“</w:t>
      </w:r>
      <w:r>
        <w:rPr>
          <w:rFonts w:ascii="Times New Roman;Times;Serif" w:hAnsi="Times New Roman;Times;Serif"/>
          <w:sz w:val="20"/>
          <w:u w:val="single"/>
        </w:rPr>
        <w:t>Common Stock</w:t>
      </w:r>
      <w:r>
        <w:rPr>
          <w:rFonts w:ascii="Times New Roman;Times;Serif" w:hAnsi="Times New Roman;Times;Serif"/>
          <w:sz w:val="20"/>
        </w:rPr>
        <w:t>” means the common stock of the Company, par value $0.001 per share, and any other class of securities into which such securities may hereafter be reclassified or changed.</w:t>
      </w:r>
    </w:p>
    <w:p>
      <w:pPr>
        <w:pStyle w:val="TextBody"/>
        <w:bidi w:val="0"/>
        <w:spacing w:before="0" w:after="240"/>
        <w:ind w:left="720" w:right="0" w:firstLine="720"/>
        <w:jc w:val="both"/>
        <w:rPr/>
      </w:pPr>
      <w:r>
        <w:rPr/>
        <w:t>“</w:t>
      </w:r>
      <w:r>
        <w:rPr>
          <w:rFonts w:ascii="Times New Roman;Times;Serif" w:hAnsi="Times New Roman;Times;Serif"/>
          <w:sz w:val="20"/>
          <w:u w:val="single"/>
        </w:rPr>
        <w:t>Common Stock Equivalents</w:t>
      </w:r>
      <w:r>
        <w:rPr>
          <w:rFonts w:ascii="Times New Roman;Times;Serif" w:hAnsi="Times New Roman;Times;Serif"/>
          <w:sz w:val="20"/>
        </w:rPr>
        <w:t>” means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240"/>
        <w:ind w:left="720" w:right="0" w:firstLine="720"/>
        <w:jc w:val="both"/>
        <w:rPr/>
      </w:pPr>
      <w:r>
        <w:rPr/>
        <w:t>“</w:t>
      </w:r>
      <w:r>
        <w:rPr>
          <w:rFonts w:ascii="Times New Roman;Times;Serif" w:hAnsi="Times New Roman;Times;Serif"/>
          <w:sz w:val="20"/>
          <w:u w:val="single"/>
        </w:rPr>
        <w:t>Company Counsel</w:t>
      </w:r>
      <w:r>
        <w:rPr>
          <w:rFonts w:ascii="Times New Roman;Times;Serif" w:hAnsi="Times New Roman;Times;Serif"/>
          <w:sz w:val="20"/>
        </w:rPr>
        <w:t>” means Stradling Yocca Carlson &amp; Rauth LLP.</w:t>
      </w:r>
    </w:p>
    <w:p>
      <w:pPr>
        <w:pStyle w:val="TextBody"/>
        <w:bidi w:val="0"/>
        <w:spacing w:before="0" w:after="240"/>
        <w:ind w:left="720" w:right="0" w:firstLine="720"/>
        <w:jc w:val="both"/>
        <w:rPr/>
      </w:pPr>
      <w:r>
        <w:rPr/>
        <w:t>“</w:t>
      </w:r>
      <w:r>
        <w:rPr>
          <w:rFonts w:ascii="Times New Roman;Times;Serif" w:hAnsi="Times New Roman;Times;Serif"/>
          <w:sz w:val="20"/>
          <w:u w:val="single"/>
        </w:rPr>
        <w:t>Conversion Price</w:t>
      </w:r>
      <w:r>
        <w:rPr>
          <w:rFonts w:ascii="Times New Roman;Times;Serif" w:hAnsi="Times New Roman;Times;Serif"/>
          <w:sz w:val="20"/>
        </w:rPr>
        <w:t>” shall have the meaning ascribed to such term in Section 1 of the Certificate of Designation.</w:t>
      </w:r>
    </w:p>
    <w:p>
      <w:pPr>
        <w:pStyle w:val="TextBody"/>
        <w:bidi w:val="0"/>
        <w:ind w:left="720" w:right="0" w:firstLine="720"/>
        <w:jc w:val="both"/>
        <w:rPr/>
      </w:pPr>
      <w:r>
        <w:rPr/>
        <w:t>“</w:t>
      </w:r>
      <w:r>
        <w:rPr>
          <w:rFonts w:ascii="Times New Roman;Times;Serif" w:hAnsi="Times New Roman;Times;Serif"/>
          <w:sz w:val="20"/>
          <w:u w:val="single"/>
        </w:rPr>
        <w:t>Conversion Shares</w:t>
      </w:r>
      <w:r>
        <w:rPr>
          <w:rFonts w:ascii="Times New Roman;Times;Serif" w:hAnsi="Times New Roman;Times;Serif"/>
          <w:sz w:val="20"/>
        </w:rPr>
        <w:t>” means the shares of Preferred Stock issuable upon conversion of the Debentures upon the Company’s receipt of Shareholder Approval.</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Debentures</w:t>
      </w:r>
      <w:r>
        <w:rPr>
          <w:rFonts w:ascii="Times New Roman;Times;Serif" w:hAnsi="Times New Roman;Times;Serif"/>
          <w:sz w:val="20"/>
        </w:rPr>
        <w:t xml:space="preserve">” means the debentures, in the form of </w:t>
      </w:r>
      <w:r>
        <w:rPr>
          <w:rFonts w:ascii="Times New Roman;Times;Serif" w:hAnsi="Times New Roman;Times;Serif"/>
          <w:sz w:val="20"/>
          <w:u w:val="single"/>
        </w:rPr>
        <w:t>Exhibit B</w:t>
      </w:r>
      <w:r>
        <w:rPr>
          <w:rFonts w:ascii="Times New Roman;Times;Serif" w:hAnsi="Times New Roman;Times;Serif"/>
          <w:sz w:val="20"/>
        </w:rPr>
        <w:t xml:space="preserve"> hereto, to be issued at the First Closing Date in the aggregate principal amount of $9,000,000.</w:t>
      </w:r>
    </w:p>
    <w:p>
      <w:pPr>
        <w:pStyle w:val="TextBody"/>
        <w:bidi w:val="0"/>
        <w:spacing w:before="0" w:after="240"/>
        <w:ind w:left="720" w:right="0" w:firstLine="720"/>
        <w:jc w:val="both"/>
        <w:rPr/>
      </w:pPr>
      <w:r>
        <w:rPr/>
        <w:t>“</w:t>
      </w:r>
      <w:r>
        <w:rPr>
          <w:rFonts w:ascii="Times New Roman;Times;Serif" w:hAnsi="Times New Roman;Times;Serif"/>
          <w:sz w:val="20"/>
          <w:u w:val="single"/>
        </w:rPr>
        <w:t>Disclosure Time</w:t>
      </w:r>
      <w:r>
        <w:rPr>
          <w:rFonts w:ascii="Times New Roman;Times;Serif" w:hAnsi="Times New Roman;Times;Serif"/>
          <w:sz w:val="20"/>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pStyle w:val="TextBody"/>
        <w:bidi w:val="0"/>
        <w:spacing w:before="0" w:after="240"/>
        <w:ind w:left="720" w:right="0" w:firstLine="720"/>
        <w:jc w:val="both"/>
        <w:rPr/>
      </w:pPr>
      <w:r>
        <w:rPr/>
        <w:t>“</w:t>
      </w:r>
      <w:r>
        <w:rPr>
          <w:rFonts w:ascii="Times New Roman;Times;Serif" w:hAnsi="Times New Roman;Times;Serif"/>
          <w:sz w:val="20"/>
          <w:u w:val="single"/>
        </w:rPr>
        <w:t>Effective Date</w:t>
      </w:r>
      <w:r>
        <w:rPr>
          <w:rFonts w:ascii="Times New Roman;Times;Serif" w:hAnsi="Times New Roman;Times;Serif"/>
          <w:sz w:val="20"/>
        </w:rPr>
        <w:t>” means the earliest of the date that (a) the Registration Statement has been declared effective by the Commission, (b) all of the Underlying Shares and the Warrant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the Underlying Shares or the Warrant Shares is not an Affiliate of the Company, or (d) all of the Underlying Shares or the Warrant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Underlying Shares or the Warrant Shares pursuant to such exemption which opinion shall be in form and substance reasonably acceptable to such holders.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E-2 </w:t>
      </w:r>
    </w:p>
    <w:p>
      <w:pPr>
        <w:pStyle w:val="TextBody"/>
        <w:bidi w:val="0"/>
        <w:spacing w:before="0" w:after="0"/>
        <w:ind w:left="0" w:right="0" w:hanging="0"/>
        <w:jc w:val="left"/>
        <w:rPr/>
      </w:pPr>
      <w:r>
        <w:rPr/>
        <w:t> </w:t>
      </w:r>
    </w:p>
    <w:p>
      <w:pPr>
        <w:pStyle w:val="TextBody"/>
        <w:bidi w:val="0"/>
        <w:ind w:left="720" w:right="0" w:firstLine="720"/>
        <w:jc w:val="both"/>
        <w:rPr/>
      </w:pPr>
      <w:r>
        <w:rPr/>
        <w:t>“</w:t>
      </w:r>
      <w:r>
        <w:rPr>
          <w:rFonts w:ascii="Times New Roman;Times;Serif" w:hAnsi="Times New Roman;Times;Serif"/>
          <w:sz w:val="20"/>
          <w:u w:val="single"/>
        </w:rPr>
        <w:t>Evaluation Date</w:t>
      </w:r>
      <w:r>
        <w:rPr>
          <w:rFonts w:ascii="Times New Roman;Times;Serif" w:hAnsi="Times New Roman;Times;Serif"/>
          <w:sz w:val="20"/>
        </w:rPr>
        <w:t>” shall have the meaning ascribed to such term in Section 3.1(s).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as amended, and the rules and regulations promulgated thereunder.</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Exempt Issuance</w:t>
      </w:r>
      <w:r>
        <w:rPr>
          <w:rFonts w:ascii="Times New Roman;Times;Serif" w:hAnsi="Times New Roman;Times;Serif"/>
          <w:sz w:val="20"/>
        </w:rPr>
        <w:t>” means the issuance of (a) shares of Common Stock or options restricted stock units, restricted stock, stock appreciation rights or other equity or equity-based awards to employees, officers, consultants, advisors, or directors of the Company pursuant to any stock, stock option, equity incentive, employee stock purchase, inducement, employment, consulting, director compensation or other similar plan, agreement or arrangement duly adopted for such purpose, by a majority of the non-employee members of the Board of Directors or a majority of the members of a committee of non-employee directors established for such purpose or otherwise approved in accordance with applicable Trading Market rules, (b)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mergers, acquisitions, business combinations, joint ventures, license arrangements, strategic alliances, or other strategic transactions approved by a majority of the disinterested directors of the Company, provided that such securities are issued as “restricted securities” (as defined in Rule 144),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(d) securities issued pursuant to that certain at-the-market sales agreement, dated December 12, 2025, entered into between the Company and Aegis Capital Corp., or any amendments to or replacements of such agreement, and (f) securities issued in connection with any credit facility, equipment lease or financing, commercial bank loan or other similar financing transaction, in each case approved by a majority of the disinterested directors of the Company.</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FCPA</w:t>
      </w:r>
      <w:r>
        <w:rPr>
          <w:rFonts w:ascii="Times New Roman;Times;Serif" w:hAnsi="Times New Roman;Times;Serif"/>
          <w:sz w:val="20"/>
        </w:rPr>
        <w:t>” means the Foreign Corrupt Practices Act of 1977, as amended.</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First Closing</w:t>
      </w:r>
      <w:r>
        <w:rPr>
          <w:rFonts w:ascii="Times New Roman;Times;Serif" w:hAnsi="Times New Roman;Times;Serif"/>
          <w:sz w:val="20"/>
        </w:rPr>
        <w:t>” means the closing of the purchase and sale of the Debentures and Warrants on the First Closing Date.</w:t>
      </w:r>
    </w:p>
    <w:p>
      <w:pPr>
        <w:pStyle w:val="TextBody"/>
        <w:bidi w:val="0"/>
        <w:spacing w:before="0" w:after="240"/>
        <w:ind w:left="720" w:right="0" w:firstLine="720"/>
        <w:jc w:val="both"/>
        <w:rPr/>
      </w:pPr>
      <w:r>
        <w:rPr/>
        <w:t>“</w:t>
      </w:r>
      <w:r>
        <w:rPr>
          <w:rFonts w:ascii="Times New Roman;Times;Serif" w:hAnsi="Times New Roman;Times;Serif"/>
          <w:sz w:val="20"/>
          <w:u w:val="single"/>
        </w:rPr>
        <w:t>First Closing Date</w:t>
      </w:r>
      <w:r>
        <w:rPr>
          <w:rFonts w:ascii="Times New Roman;Times;Serif" w:hAnsi="Times New Roman;Times;Serif"/>
          <w:sz w:val="20"/>
        </w:rPr>
        <w:t>” means the Trading Day on which all of the Transaction Documents relating to the initial purchase and sale of the Debentures and Warrants have been executed and delivered by the applicable parties thereto, and all conditions precedent to (i) the Purchasers’ obligations to pay the initial Subscription Amount and (ii) the Company’s obligations to deliver the Debentures and Warrants, in each case, have been satisfied or waived.</w:t>
      </w:r>
    </w:p>
    <w:p>
      <w:pPr>
        <w:pStyle w:val="TextBody"/>
        <w:bidi w:val="0"/>
        <w:ind w:left="720" w:right="0" w:firstLine="720"/>
        <w:jc w:val="both"/>
        <w:rPr/>
      </w:pPr>
      <w:r>
        <w:rPr/>
        <w:t>“</w:t>
      </w:r>
      <w:r>
        <w:rPr>
          <w:rFonts w:ascii="Times New Roman;Times;Serif" w:hAnsi="Times New Roman;Times;Serif"/>
          <w:sz w:val="20"/>
          <w:u w:val="single"/>
        </w:rPr>
        <w:t>Floor Price</w:t>
      </w:r>
      <w:r>
        <w:rPr>
          <w:rFonts w:ascii="Times New Roman;Times;Serif" w:hAnsi="Times New Roman;Times;Serif"/>
          <w:sz w:val="20"/>
        </w:rPr>
        <w:t>” means $0.72 (subject to adjustment for reverse and forward stock splits, recapitalizations, and similar transactions following the date of the Purchase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E-3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GAAP</w:t>
      </w:r>
      <w:r>
        <w:rPr>
          <w:rFonts w:ascii="Times New Roman;Times;Serif" w:hAnsi="Times New Roman;Times;Serif"/>
          <w:sz w:val="20"/>
        </w:rPr>
        <w:t>” shall have the meaning ascribed to such term in Section 3.1(h).</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Indebtedness</w:t>
      </w:r>
      <w:r>
        <w:rPr>
          <w:rFonts w:ascii="Times New Roman;Times;Serif" w:hAnsi="Times New Roman;Times;Serif"/>
          <w:sz w:val="20"/>
        </w:rPr>
        <w:t>” shall have the meaning ascribed to such term in Section 3.1(bb).</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Intellectual Property Rights</w:t>
      </w:r>
      <w:r>
        <w:rPr>
          <w:rFonts w:ascii="Times New Roman;Times;Serif" w:hAnsi="Times New Roman;Times;Serif"/>
          <w:sz w:val="20"/>
        </w:rPr>
        <w:t>” shall have the meaning ascribed to such term in Section 3.1(o).</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Issuable Maximum</w:t>
      </w:r>
      <w:r>
        <w:rPr>
          <w:rFonts w:ascii="Times New Roman;Times;Serif" w:hAnsi="Times New Roman;Times;Serif"/>
          <w:sz w:val="20"/>
        </w:rPr>
        <w:t>” means the lower of (i) the maximum number of authorized and unissued shares of Common Stock which may be issued pursuant to the Company’s articles of incorporation, and (ii) 19.99% of the number of shares of Common Stock outstanding on the Trading Day immediately preceding the date of this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Legend Removal Date</w:t>
      </w:r>
      <w:r>
        <w:rPr>
          <w:rFonts w:ascii="Times New Roman;Times;Serif" w:hAnsi="Times New Roman;Times;Serif"/>
          <w:sz w:val="20"/>
        </w:rPr>
        <w:t>” shall have the meaning ascribed to such term in Section 4.1(c).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Liens</w:t>
      </w:r>
      <w:r>
        <w:rPr>
          <w:rFonts w:ascii="Times New Roman;Times;Serif" w:hAnsi="Times New Roman;Times;Serif"/>
          <w:sz w:val="20"/>
        </w:rPr>
        <w:t>” means a lien, charge, security interest, encumbrance, right of first refusal, preemptive right or other restriction.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Material Adverse Effect</w:t>
      </w:r>
      <w:r>
        <w:rPr>
          <w:rFonts w:ascii="Times New Roman;Times;Serif" w:hAnsi="Times New Roman;Times;Serif"/>
          <w:sz w:val="20"/>
        </w:rPr>
        <w:t>” shall have the meaning assigned to such term in Section 3.1(b).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Material Permits</w:t>
      </w:r>
      <w:r>
        <w:rPr>
          <w:rFonts w:ascii="Times New Roman;Times;Serif" w:hAnsi="Times New Roman;Times;Serif"/>
          <w:sz w:val="20"/>
        </w:rPr>
        <w:t>” shall have the meaning ascribed to such term in Section 3.1(n).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Maximum Rate</w:t>
      </w:r>
      <w:r>
        <w:rPr>
          <w:rFonts w:ascii="Times New Roman;Times;Serif" w:hAnsi="Times New Roman;Times;Serif"/>
          <w:sz w:val="20"/>
        </w:rPr>
        <w:t>” shall have the meaning ascribed to such term in Section 5.17.</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Participation Maximum</w:t>
      </w:r>
      <w:r>
        <w:rPr>
          <w:rFonts w:ascii="Times New Roman;Times;Serif" w:hAnsi="Times New Roman;Times;Serif"/>
          <w:sz w:val="20"/>
        </w:rPr>
        <w:t>” shall have the meaning ascribed to such term in Section 4.12(a).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Placement Agent</w:t>
      </w:r>
      <w:r>
        <w:rPr>
          <w:rFonts w:ascii="Times New Roman;Times;Serif" w:hAnsi="Times New Roman;Times;Serif"/>
          <w:sz w:val="20"/>
        </w:rPr>
        <w:t>” means Palladium Capital Group, LLC.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Placement Agent Agreement</w:t>
      </w:r>
      <w:r>
        <w:rPr>
          <w:rFonts w:ascii="Times New Roman;Times;Serif" w:hAnsi="Times New Roman;Times;Serif"/>
          <w:sz w:val="20"/>
        </w:rPr>
        <w:t>” means the placement agent agreement, dated on or about the date hereof, between the Company and the Placement Agent.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Preferred Stock</w:t>
      </w:r>
      <w:r>
        <w:rPr>
          <w:rFonts w:ascii="Times New Roman;Times;Serif" w:hAnsi="Times New Roman;Times;Serif"/>
          <w:sz w:val="20"/>
        </w:rPr>
        <w:t>” means up to 100,000 shares of the Company’s 8% Series A Convertible Preferred Stock issued in one or more Closings hereunder and having the rights, preferences and privileges set forth in one or more Certificates of Designation, each in substantially the form of Exhibit A hereto.</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Pre-Notice</w:t>
      </w:r>
      <w:r>
        <w:rPr>
          <w:rFonts w:ascii="Times New Roman;Times;Serif" w:hAnsi="Times New Roman;Times;Serif"/>
          <w:sz w:val="20"/>
        </w:rPr>
        <w:t>” shall have the meaning ascribed to such term in Section 4.12(b).</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Pro Rata Portion</w:t>
      </w:r>
      <w:r>
        <w:rPr>
          <w:rFonts w:ascii="Times New Roman;Times;Serif" w:hAnsi="Times New Roman;Times;Serif"/>
          <w:sz w:val="20"/>
        </w:rPr>
        <w:t>” shall have the meaning ascribed to such term in Section 4.12(e).</w:t>
      </w:r>
    </w:p>
    <w:p>
      <w:pPr>
        <w:pStyle w:val="TextBody"/>
        <w:bidi w:val="0"/>
        <w:ind w:left="720" w:right="0" w:firstLine="720"/>
        <w:jc w:val="both"/>
        <w:rPr/>
      </w:pPr>
      <w:r>
        <w:rPr/>
        <w:t>“</w:t>
      </w:r>
      <w:r>
        <w:rPr>
          <w:rFonts w:ascii="Times New Roman;Times;Serif" w:hAnsi="Times New Roman;Times;Serif"/>
          <w:sz w:val="20"/>
          <w:u w:val="single"/>
        </w:rPr>
        <w:t>Proceeding</w:t>
      </w:r>
      <w:r>
        <w:rPr>
          <w:rFonts w:ascii="Times New Roman;Times;Serif" w:hAnsi="Times New Roman;Times;Serif"/>
          <w:sz w:val="20"/>
        </w:rPr>
        <w:t>” means an action, claim, suit, investigation or proceeding (including, without limitation, an informal investigation or partial proceeding, such as a deposition), whether commenced or threatened.</w:t>
      </w:r>
    </w:p>
    <w:p>
      <w:pPr>
        <w:pStyle w:val="TextBody"/>
        <w:bidi w:val="0"/>
        <w:ind w:left="720" w:right="0" w:firstLine="72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E-4 </w:t>
      </w:r>
    </w:p>
    <w:p>
      <w:pPr>
        <w:pStyle w:val="TextBody"/>
        <w:bidi w:val="0"/>
        <w:spacing w:before="0" w:after="0"/>
        <w:ind w:left="0" w:right="0" w:hanging="0"/>
        <w:jc w:val="left"/>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Public Information Failure</w:t>
      </w:r>
      <w:r>
        <w:rPr>
          <w:rFonts w:ascii="Times New Roman;Times;Serif" w:hAnsi="Times New Roman;Times;Serif"/>
          <w:sz w:val="20"/>
        </w:rPr>
        <w:t>” shall have the meaning ascribed to such term in Section 4.3(b).</w:t>
      </w:r>
    </w:p>
    <w:p>
      <w:pPr>
        <w:pStyle w:val="TextBody"/>
        <w:bidi w:val="0"/>
        <w:spacing w:before="0" w:after="240"/>
        <w:ind w:left="720" w:right="0" w:firstLine="720"/>
        <w:jc w:val="both"/>
        <w:rPr/>
      </w:pPr>
      <w:r>
        <w:rPr/>
        <w:t>“</w:t>
      </w:r>
      <w:r>
        <w:rPr>
          <w:rFonts w:ascii="Times New Roman;Times;Serif" w:hAnsi="Times New Roman;Times;Serif"/>
          <w:sz w:val="20"/>
          <w:u w:val="single"/>
        </w:rPr>
        <w:t>Public Information Failure Payments</w:t>
      </w:r>
      <w:r>
        <w:rPr>
          <w:rFonts w:ascii="Times New Roman;Times;Serif" w:hAnsi="Times New Roman;Times;Serif"/>
          <w:sz w:val="20"/>
        </w:rPr>
        <w:t>” shall have the meaning ascribed to such term in Section 4.3(b).</w:t>
      </w:r>
    </w:p>
    <w:p>
      <w:pPr>
        <w:pStyle w:val="TextBody"/>
        <w:bidi w:val="0"/>
        <w:ind w:left="720" w:right="0" w:firstLine="720"/>
        <w:jc w:val="both"/>
        <w:rPr/>
      </w:pPr>
      <w:r>
        <w:rPr/>
        <w:t>“</w:t>
      </w:r>
      <w:r>
        <w:rPr>
          <w:rFonts w:ascii="Times New Roman;Times;Serif" w:hAnsi="Times New Roman;Times;Serif"/>
          <w:sz w:val="20"/>
          <w:u w:val="single"/>
        </w:rPr>
        <w:t>Purchaser Party</w:t>
      </w:r>
      <w:r>
        <w:rPr>
          <w:rFonts w:ascii="Times New Roman;Times;Serif" w:hAnsi="Times New Roman;Times;Serif"/>
          <w:sz w:val="20"/>
        </w:rPr>
        <w:t>” shall have the meaning ascribed to such term in Section 4.10.</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Registration Rights Agreement</w:t>
      </w:r>
      <w:r>
        <w:rPr>
          <w:rFonts w:ascii="Times New Roman;Times;Serif" w:hAnsi="Times New Roman;Times;Serif"/>
          <w:sz w:val="20"/>
        </w:rPr>
        <w:t xml:space="preserve">” means the Registration Rights Agreement, dated on or about the date hereof, among the Company and the Purchasers, in the form of </w:t>
      </w:r>
      <w:r>
        <w:rPr>
          <w:rFonts w:ascii="Times New Roman;Times;Serif" w:hAnsi="Times New Roman;Times;Serif"/>
          <w:sz w:val="20"/>
          <w:u w:val="single"/>
        </w:rPr>
        <w:t>Exhibit C</w:t>
      </w:r>
      <w:r>
        <w:rPr>
          <w:rFonts w:ascii="Times New Roman;Times;Serif" w:hAnsi="Times New Roman;Times;Serif"/>
          <w:sz w:val="20"/>
        </w:rPr>
        <w:t xml:space="preserve"> attached hereto.</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Registration Statement</w:t>
      </w:r>
      <w:r>
        <w:rPr>
          <w:rFonts w:ascii="Times New Roman;Times;Serif" w:hAnsi="Times New Roman;Times;Serif"/>
          <w:sz w:val="20"/>
        </w:rPr>
        <w:t>” means a registration statement meeting the requirements set forth in the Registration Rights Agreement and covering the resale of the Underlying Shares and the Warrant Shares by each Purchaser as provided for in the Registration Rights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Required Approvals</w:t>
      </w:r>
      <w:r>
        <w:rPr>
          <w:rFonts w:ascii="Times New Roman;Times;Serif" w:hAnsi="Times New Roman;Times;Serif"/>
          <w:sz w:val="20"/>
        </w:rPr>
        <w:t>” shall have the meaning ascribed to such term in Section 3.1(e).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Required Holders</w:t>
      </w:r>
      <w:r>
        <w:rPr>
          <w:rFonts w:ascii="Times New Roman;Times;Serif" w:hAnsi="Times New Roman;Times;Serif"/>
          <w:sz w:val="20"/>
        </w:rPr>
        <w:t>” means, as of any date of determination, (i) if any Debentures are then outstanding, the holders of at least 50.1% in principal amount of the Debentures then outstanding, or (ii) if any shares of Preferred Stock are then outstanding, the holders of at least 50.1% in Stated Value of the Preferred Stock then outstanding.</w:t>
      </w:r>
    </w:p>
    <w:p>
      <w:pPr>
        <w:pStyle w:val="TextBody"/>
        <w:bidi w:val="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Required Minimum</w:t>
      </w:r>
      <w:r>
        <w:rPr>
          <w:rFonts w:ascii="Times New Roman;Times;Serif" w:hAnsi="Times New Roman;Times;Serif"/>
          <w:sz w:val="20"/>
        </w:rPr>
        <w:t>” means, as of any date, (i) the maximum aggregate number of Underlying Shares issuable upon conversion in full of all shares of Preferred Stock at the initial Conversion Price applicable to such shares of Preferred Stock, ignoring any conversion or exercise limits set forth therein, and assuming that any previously unconverted shares of Preferred Stock are held until the third anniversary of the Closing Date and all dividends are paid in shares of Common Stock until such third anniversary, with the number of shares of Common Stock issuable in respect of such dividends calculated based on the initial Conversion Price applicable to the shares of Preferred Stock on which such dividends accrue, and (ii) the maximum aggregate number of Warrant Shares issuable upon exercise in full of the Warrants, ignoring any exercise limits set forth therein.</w:t>
      </w:r>
    </w:p>
    <w:p>
      <w:pPr>
        <w:pStyle w:val="TextBody"/>
        <w:bidi w:val="0"/>
        <w:ind w:left="720" w:right="0" w:firstLine="720"/>
        <w:jc w:val="both"/>
        <w:rPr/>
      </w:pPr>
      <w:r>
        <w:rPr/>
        <w:t>“</w:t>
      </w:r>
      <w:r>
        <w:rPr>
          <w:rFonts w:ascii="Times New Roman;Times;Serif" w:hAnsi="Times New Roman;Times;Serif"/>
          <w:sz w:val="20"/>
          <w:u w:val="single"/>
        </w:rPr>
        <w:t>Rule 144</w:t>
      </w:r>
      <w:r>
        <w:rPr>
          <w:rFonts w:ascii="Times New Roman;Times;Serif" w:hAnsi="Times New Roman;Times;Serif"/>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Rule 424</w:t>
      </w:r>
      <w:r>
        <w:rPr>
          <w:rFonts w:ascii="Times New Roman;Times;Serif" w:hAnsi="Times New Roman;Times;Serif"/>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SEC Reports</w:t>
      </w:r>
      <w:r>
        <w:rPr>
          <w:rFonts w:ascii="Times New Roman;Times;Serif" w:hAnsi="Times New Roman;Times;Serif"/>
          <w:sz w:val="20"/>
        </w:rPr>
        <w:t>” shall have the meaning ascribed to such term in Section 3.1(h).</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Securities</w:t>
      </w:r>
      <w:r>
        <w:rPr>
          <w:rFonts w:ascii="Times New Roman;Times;Serif" w:hAnsi="Times New Roman;Times;Serif"/>
          <w:sz w:val="20"/>
        </w:rPr>
        <w:t>” means the Debentures, the Preferred Stock, the Underlying Shares, the Warrants and the Warrant Shares.</w:t>
      </w:r>
    </w:p>
    <w:p>
      <w:pPr>
        <w:pStyle w:val="TextBody"/>
        <w:bidi w:val="0"/>
        <w:ind w:left="720" w:right="0" w:firstLine="72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E-5 </w:t>
      </w:r>
    </w:p>
    <w:p>
      <w:pPr>
        <w:pStyle w:val="TextBody"/>
        <w:bidi w:val="0"/>
        <w:spacing w:before="0" w:after="0"/>
        <w:ind w:left="0" w:right="0" w:hanging="0"/>
        <w:jc w:val="left"/>
        <w:rPr/>
      </w:pPr>
      <w:r>
        <w:rPr/>
        <w:t> </w:t>
      </w:r>
    </w:p>
    <w:p>
      <w:pPr>
        <w:pStyle w:val="TextBody"/>
        <w:bidi w:val="0"/>
        <w:ind w:left="72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and the rules and regulations promulgated thereunder.</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Shareholder Approval</w:t>
      </w:r>
      <w:r>
        <w:rPr>
          <w:rFonts w:ascii="Times New Roman;Times;Serif" w:hAnsi="Times New Roman;Times;Serif"/>
          <w:sz w:val="20"/>
        </w:rPr>
        <w:t>” means such approval as may be required by the applicable rules and regulations of the Nasdaq Stock Market (or any successor entity) from the shareholders of the Company with respect to the transactions contemplated by the Transaction Documents, including (i) the approval of an amendment of the Company’s articles of incorporation to authorize the creation of the Preferred Stock (which may or may not be incorporated within a proposal seeking shareholder approval of the authorization of undesignated (i.e., “blank check”) preferred stock); and (ii) the issuance of all of the Underlying Shares and the Warrant Shares in excess of 19.99% of the number of issued and outstanding shares of Common Stock on the First Closing Date.</w:t>
      </w:r>
    </w:p>
    <w:p>
      <w:pPr>
        <w:pStyle w:val="TextBody"/>
        <w:bidi w:val="0"/>
        <w:spacing w:before="0" w:after="240"/>
        <w:ind w:left="720" w:right="0" w:firstLine="720"/>
        <w:jc w:val="both"/>
        <w:rPr/>
      </w:pPr>
      <w:r>
        <w:rPr/>
        <w:t>“</w:t>
      </w:r>
      <w:r>
        <w:rPr>
          <w:rFonts w:ascii="Times New Roman;Times;Serif" w:hAnsi="Times New Roman;Times;Serif"/>
          <w:sz w:val="20"/>
          <w:u w:val="single"/>
        </w:rPr>
        <w:t>Shareholder Approval Date</w:t>
      </w:r>
      <w:r>
        <w:rPr>
          <w:rFonts w:ascii="Times New Roman;Times;Serif" w:hAnsi="Times New Roman;Times;Serif"/>
          <w:sz w:val="20"/>
        </w:rPr>
        <w:t>” means the date on which the Shareholder Approval is received and deemed effective under Nevada law.</w:t>
      </w:r>
    </w:p>
    <w:p>
      <w:pPr>
        <w:pStyle w:val="TextBody"/>
        <w:bidi w:val="0"/>
        <w:ind w:left="720" w:right="0" w:firstLine="720"/>
        <w:jc w:val="both"/>
        <w:rPr/>
      </w:pPr>
      <w:r>
        <w:rPr/>
        <w:t>“</w:t>
      </w:r>
      <w:r>
        <w:rPr>
          <w:rFonts w:ascii="Times New Roman;Times;Serif" w:hAnsi="Times New Roman;Times;Serif"/>
          <w:sz w:val="20"/>
          <w:u w:val="single"/>
        </w:rPr>
        <w:t>Short Sales</w:t>
      </w:r>
      <w:r>
        <w:rPr>
          <w:rFonts w:ascii="Times New Roman;Times;Serif" w:hAnsi="Times New Roman;Times;Serif"/>
          <w:sz w:val="20"/>
        </w:rPr>
        <w:t>” means all “short sales” as defined in Rule 200 of Regulation SHO under the Exchange Act (but shall not be deemed to include locating and/or borrowing shares of Common Stock).</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Stated Value</w:t>
      </w:r>
      <w:r>
        <w:rPr>
          <w:rFonts w:ascii="Times New Roman;Times;Serif" w:hAnsi="Times New Roman;Times;Serif"/>
          <w:sz w:val="20"/>
        </w:rPr>
        <w:t>” shall have the meaning ascribed to such term in Section 1 of the Certificate of Designation.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Subscription Amount</w:t>
      </w:r>
      <w:r>
        <w:rPr>
          <w:rFonts w:ascii="Times New Roman;Times;Serif" w:hAnsi="Times New Roman;Times;Serif"/>
          <w:sz w:val="20"/>
        </w:rPr>
        <w:t>” means, as to each Purchaser, the aggregate amount to be paid for the Debentures and the Warrants purchased hereunder as specified below such Purchaser’s name on the signature page of this Agreement and next to the heading “Subscription Amount,” in United States dollars and in immediately available funds.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Subsequent Financing</w:t>
      </w:r>
      <w:r>
        <w:rPr>
          <w:rFonts w:ascii="Times New Roman;Times;Serif" w:hAnsi="Times New Roman;Times;Serif"/>
          <w:sz w:val="20"/>
        </w:rPr>
        <w:t>” shall have the meaning ascribed to such term in Section 4.12(a).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Subsequent Financing Notice</w:t>
      </w:r>
      <w:r>
        <w:rPr>
          <w:rFonts w:ascii="Times New Roman;Times;Serif" w:hAnsi="Times New Roman;Times;Serif"/>
          <w:sz w:val="20"/>
        </w:rPr>
        <w:t>” shall have the meaning ascribed to such term in Section 4.12(b).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Subsidiary</w:t>
      </w:r>
      <w:r>
        <w:rPr>
          <w:rFonts w:ascii="Times New Roman;Times;Serif" w:hAnsi="Times New Roman;Times;Serif"/>
          <w:sz w:val="20"/>
        </w:rPr>
        <w:t>” means any direct or indirect subsidiary of the Company formed or acquired after the date hereof.</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Day</w:t>
      </w:r>
      <w:r>
        <w:rPr>
          <w:rFonts w:ascii="Times New Roman;Times;Serif" w:hAnsi="Times New Roman;Times;Serif"/>
          <w:sz w:val="20"/>
        </w:rPr>
        <w:t>” means a day on which the principal Trading Market is open for trading.</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Market</w:t>
      </w:r>
      <w:r>
        <w:rPr>
          <w:rFonts w:ascii="Times New Roman;Times;Serif" w:hAnsi="Times New Roman;Times;Serif"/>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Transaction Documents</w:t>
      </w:r>
      <w:r>
        <w:rPr>
          <w:rFonts w:ascii="Times New Roman;Times;Serif" w:hAnsi="Times New Roman;Times;Serif"/>
          <w:sz w:val="20"/>
        </w:rPr>
        <w:t>” means this Agreement, the Debentures, the Certificate of Designation, the Registration Rights Agreement, the Warrants, all exhibits and schedules thereto and hereto and any other documents or agreements executed in connection with the transactions contemplated hereunder.</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Transfer Agent</w:t>
      </w:r>
      <w:r>
        <w:rPr>
          <w:rFonts w:ascii="Times New Roman;Times;Serif" w:hAnsi="Times New Roman;Times;Serif"/>
          <w:sz w:val="20"/>
        </w:rPr>
        <w:t>” means Pacific Stock Transfer, the current transfer agent of the Company, and any successor transfer agent of the Company.</w:t>
      </w:r>
    </w:p>
    <w:p>
      <w:pPr>
        <w:pStyle w:val="TextBody"/>
        <w:bidi w:val="0"/>
        <w:ind w:left="720" w:right="0" w:firstLine="72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E-6 </w:t>
      </w:r>
    </w:p>
    <w:p>
      <w:pPr>
        <w:pStyle w:val="TextBody"/>
        <w:bidi w:val="0"/>
        <w:spacing w:before="0" w:after="0"/>
        <w:ind w:left="0" w:right="0" w:hanging="0"/>
        <w:jc w:val="left"/>
        <w:rPr/>
      </w:pPr>
      <w:r>
        <w:rPr/>
        <w:t> </w:t>
      </w:r>
    </w:p>
    <w:p>
      <w:pPr>
        <w:pStyle w:val="TextBody"/>
        <w:bidi w:val="0"/>
        <w:ind w:left="720" w:right="0" w:firstLine="720"/>
        <w:jc w:val="both"/>
        <w:rPr/>
      </w:pPr>
      <w:r>
        <w:rPr/>
        <w:t>“</w:t>
      </w:r>
      <w:r>
        <w:rPr>
          <w:rFonts w:ascii="Times New Roman;Times;Serif" w:hAnsi="Times New Roman;Times;Serif"/>
          <w:sz w:val="20"/>
          <w:u w:val="single"/>
        </w:rPr>
        <w:t>Underlying Shares</w:t>
      </w:r>
      <w:r>
        <w:rPr>
          <w:rFonts w:ascii="Times New Roman;Times;Serif" w:hAnsi="Times New Roman;Times;Serif"/>
          <w:sz w:val="20"/>
        </w:rPr>
        <w:t>” means the shares of Common Stock issued and issuable upon conversion of the Preferred Stock, and issued and issuable in payment of dividends on the Preferred Stock in accordance with the terms of the Certificate of Designation.</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Variable Rate Transaction</w:t>
      </w:r>
      <w:r>
        <w:rPr>
          <w:rFonts w:ascii="Times New Roman;Times;Serif" w:hAnsi="Times New Roman;Times;Serif"/>
          <w:sz w:val="20"/>
        </w:rPr>
        <w:t>” shall have the meaning ascribed to such term in Section 4.13(b).</w:t>
      </w:r>
    </w:p>
    <w:p>
      <w:pPr>
        <w:pStyle w:val="TextBody"/>
        <w:bidi w:val="0"/>
        <w:spacing w:before="0" w:after="240"/>
        <w:ind w:left="720" w:right="0" w:firstLine="720"/>
        <w:jc w:val="both"/>
        <w:rPr/>
      </w:pPr>
      <w:r>
        <w:rPr/>
        <w:t>“</w:t>
      </w:r>
      <w:r>
        <w:rPr>
          <w:rFonts w:ascii="Times New Roman;Times;Serif" w:hAnsi="Times New Roman;Times;Serif"/>
          <w:sz w:val="20"/>
          <w:u w:val="single"/>
        </w:rPr>
        <w:t>VWAP</w:t>
      </w:r>
      <w:r>
        <w:rPr>
          <w:rFonts w:ascii="Times New Roman;Times;Serif" w:hAnsi="Times New Roman;Times;Serif"/>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OTCQB Venture Market (“</w:t>
      </w:r>
      <w:r>
        <w:rPr>
          <w:rFonts w:ascii="Times New Roman;Times;Serif" w:hAnsi="Times New Roman;Times;Serif"/>
          <w:sz w:val="20"/>
          <w:u w:val="single"/>
        </w:rPr>
        <w:t>OTCQB</w:t>
      </w:r>
      <w:r>
        <w:rPr>
          <w:rFonts w:ascii="Times New Roman;Times;Serif" w:hAnsi="Times New Roman;Times;Serif"/>
          <w:sz w:val="20"/>
        </w:rPr>
        <w:t>”) or the OTCQX Best Market (“</w:t>
      </w:r>
      <w:r>
        <w:rPr>
          <w:rFonts w:ascii="Times New Roman;Times;Serif" w:hAnsi="Times New Roman;Times;Serif"/>
          <w:sz w:val="20"/>
          <w:u w:val="single"/>
        </w:rPr>
        <w:t>OTCQX</w:t>
      </w:r>
      <w:r>
        <w:rPr>
          <w:rFonts w:ascii="Times New Roman;Times;Serif" w:hAnsi="Times New Roman;Times;Serif"/>
          <w:sz w:val="20"/>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OTCID Basic Market or the Pink Limited Market operated by the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240"/>
        <w:ind w:left="720" w:right="0" w:firstLine="720"/>
        <w:jc w:val="both"/>
        <w:rPr/>
      </w:pPr>
      <w:r>
        <w:rPr/>
        <w:t>“</w:t>
      </w:r>
      <w:r>
        <w:rPr>
          <w:rFonts w:ascii="Times New Roman;Times;Serif" w:hAnsi="Times New Roman;Times;Serif"/>
          <w:sz w:val="20"/>
          <w:u w:val="single"/>
        </w:rPr>
        <w:t>Warrants</w:t>
      </w:r>
      <w:r>
        <w:rPr>
          <w:rFonts w:ascii="Times New Roman;Times;Serif" w:hAnsi="Times New Roman;Times;Serif"/>
          <w:sz w:val="20"/>
        </w:rPr>
        <w:t xml:space="preserve">” means, collectively, the Common Stock Purchase Warrants to purchase shares of Common Stock delivered to the Purchasers on the First Closing Date in accordance with Section 2.2(a) hereof, in the form of </w:t>
      </w:r>
      <w:r>
        <w:rPr>
          <w:rFonts w:ascii="Times New Roman;Times;Serif" w:hAnsi="Times New Roman;Times;Serif"/>
          <w:sz w:val="20"/>
          <w:u w:val="single"/>
        </w:rPr>
        <w:t>Exhibit D</w:t>
      </w:r>
      <w:r>
        <w:rPr>
          <w:rFonts w:ascii="Times New Roman;Times;Serif" w:hAnsi="Times New Roman;Times;Serif"/>
          <w:sz w:val="20"/>
        </w:rPr>
        <w:t xml:space="preserve"> attached hereto.</w:t>
      </w:r>
    </w:p>
    <w:p>
      <w:pPr>
        <w:pStyle w:val="TextBody"/>
        <w:bidi w:val="0"/>
        <w:spacing w:before="0" w:after="240"/>
        <w:ind w:left="720" w:right="0" w:firstLine="720"/>
        <w:jc w:val="both"/>
        <w:rPr/>
      </w:pPr>
      <w:r>
        <w:rPr/>
        <w:t>“</w:t>
      </w:r>
      <w:r>
        <w:rPr>
          <w:rFonts w:ascii="Times New Roman;Times;Serif" w:hAnsi="Times New Roman;Times;Serif"/>
          <w:sz w:val="20"/>
          <w:u w:val="single"/>
        </w:rPr>
        <w:t>Warrant Shares</w:t>
      </w:r>
      <w:r>
        <w:rPr>
          <w:rFonts w:ascii="Times New Roman;Times;Serif" w:hAnsi="Times New Roman;Times;Serif"/>
          <w:sz w:val="20"/>
        </w:rPr>
        <w:t>” means the shares of Common Stock issuable upon exercise of the Warrants.</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ARTICLE II.</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PURCHASE AND SALE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2.1               </w:t>
      </w:r>
      <w:r>
        <w:rPr>
          <w:rFonts w:ascii="Times New Roman;Times;Serif" w:hAnsi="Times New Roman;Times;Serif"/>
          <w:sz w:val="20"/>
          <w:u w:val="single"/>
        </w:rPr>
        <w:t>Closing</w:t>
      </w:r>
      <w:r>
        <w:rPr>
          <w:rFonts w:ascii="Times New Roman;Times;Serif" w:hAnsi="Times New Roman;Times;Serif"/>
          <w:sz w:val="20"/>
        </w:rPr>
        <w:t>. On the First Closing Date, upon the terms and subject to the conditions set forth herein, substantially concurrent with the execution and delivery of this Agreement by the parties hereto, the Company agrees to sell, and the Purchasers, severally and not jointly, agree to purchase (i) up to an aggregate of $9,000,000 principal amount of Debentures for an aggregate Subscription Amount of $9,000,000 as set forth on the signature pages hereto executed by the Purchasers and (ii) the Warrants. Each Purchaser shall deliver to the Company, via wire transfer to the bank account of the Company immediately available funds equal to such Purchaser’s Subscription Amount and the Company shall deliver to each Purchaser its respective Debenture and accompanying Warrants,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or such other location as the parties shall mutually agree.</w:t>
      </w:r>
    </w:p>
    <w:tbl>
      <w:tblPr>
        <w:tblW w:w="1218" w:type="dxa"/>
        <w:jc w:val="left"/>
        <w:tblInd w:w="0" w:type="dxa"/>
        <w:tblLayout w:type="fixed"/>
        <w:tblCellMar>
          <w:top w:w="0" w:type="dxa"/>
          <w:left w:w="0" w:type="dxa"/>
          <w:bottom w:w="0" w:type="dxa"/>
          <w:right w:w="0" w:type="dxa"/>
        </w:tblCellMar>
      </w:tblPr>
      <w:tblGrid>
        <w:gridCol w:w="38"/>
        <w:gridCol w:w="275"/>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Deliveries</w:t>
            </w:r>
            <w:r>
              <w:rPr>
                <w:rFonts w:ascii="Times New Roman;Times;Serif" w:hAnsi="Times New Roman;Times;Serif"/>
                <w:sz w:val="20"/>
              </w:rPr>
              <w:t>.</w:t>
            </w:r>
          </w:p>
        </w:tc>
      </w:tr>
    </w:tbl>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On or prior to the First Closing Date, the Company shall deliver or cause to be delivered to each Purchaser or the Placement Agent, as appropriate, the following: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E-7 </w:t>
      </w:r>
    </w:p>
    <w:p>
      <w:pPr>
        <w:pStyle w:val="TextBody"/>
        <w:bidi w:val="0"/>
        <w:spacing w:before="0" w:after="0"/>
        <w:ind w:left="0" w:right="0" w:hanging="0"/>
        <w:jc w:val="left"/>
        <w:rPr/>
      </w:pPr>
      <w:r>
        <w:rPr/>
        <w:t> </w:t>
      </w:r>
    </w:p>
    <w:p>
      <w:pPr>
        <w:pStyle w:val="TextBody"/>
        <w:bidi w:val="0"/>
        <w:spacing w:before="0" w:after="240"/>
        <w:ind w:left="144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0"/>
        <w:gridCol w:w="60"/>
        <w:gridCol w:w="9725"/>
      </w:tblGrid>
      <w:tr>
        <w:trPr/>
        <w:tc>
          <w:tcPr>
            <w:tcW w:w="420" w:type="dxa"/>
            <w:tcBorders/>
            <w:vAlign w:val="center"/>
          </w:tcPr>
          <w:p>
            <w:pPr>
              <w:pStyle w:val="TableContents"/>
              <w:bidi w:val="0"/>
              <w:spacing w:before="0" w:after="283"/>
              <w:jc w:val="right"/>
              <w:rPr/>
            </w:pPr>
            <w:r>
              <w:rPr/>
              <w:t>(i)'</w:t>
            </w:r>
          </w:p>
        </w:tc>
        <w:tc>
          <w:tcPr>
            <w:tcW w:w="60" w:type="dxa"/>
            <w:tcBorders/>
            <w:vAlign w:val="center"/>
          </w:tcPr>
          <w:p>
            <w:pPr>
              <w:pStyle w:val="TableContents"/>
              <w:bidi w:val="0"/>
              <w:spacing w:before="0" w:after="283"/>
              <w:jc w:val="left"/>
              <w:rPr>
                <w:sz w:val="4"/>
                <w:szCs w:val="4"/>
              </w:rPr>
            </w:pPr>
            <w:r>
              <w:rPr>
                <w:sz w:val="4"/>
                <w:szCs w:val="4"/>
              </w:rPr>
            </w:r>
          </w:p>
        </w:tc>
        <w:tc>
          <w:tcPr>
            <w:tcW w:w="9725" w:type="dxa"/>
            <w:tcBorders/>
            <w:vAlign w:val="center"/>
          </w:tcPr>
          <w:p>
            <w:pPr>
              <w:pStyle w:val="TableContents"/>
              <w:bidi w:val="0"/>
              <w:spacing w:before="0" w:after="283"/>
              <w:jc w:val="both"/>
              <w:rPr/>
            </w:pPr>
            <w:r>
              <w:rPr/>
              <w:t>this Agreement duly executed by the Company;</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(ii)</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a legal opinion of Company Counsel, in customary form and reasonably acceptable to the Purchasers;</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(iii)</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a Debenture registered in the name of such Purchaser;</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(iv)</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 </w:t>
            </w:r>
            <w:r>
              <w:rPr/>
              <w:t>a Warrant registered in the name of such Purchaser to purchase a number of shares of Common Stock equal to 100% of the shares of Common Stock issuable upon conversion of such Purchaser’s Conversion Shares, at an exercise price equal to the Conversion Price, subject to adjustment as set forth in the Warrant;</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(v)</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the Registration Rights Agreement duly executed by the Company;</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(vi)</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 xml:space="preserve">the Company shall have provided each Purchaser with the Company’s wire instructions, on Company letterhead and executed by the Chief Executive Officer or Chief Financial Officer; </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(vii)</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 xml:space="preserve">a letter executed by the Company and the Transfer Agent reserving the Required Minimum or such lesser amount than permitted under the Company’s articles of incorporation for the benefit of the Purchasers; </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(viii)</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an officer’s certificate certifying that the representations and warranties of the Company in this Agreement are true and correct as of the Closing Date as though originally made at that time (except for representations and warranties that speak as of a specific date, which shall be true and correct as of such specific date) and that the Company has performed, satisfied and complied in all material respects with the covenants, agreements and conditions required to be performed, satisfied or complied with by the Company at or prior to the Closing Date under any Transaction Documents and no Event of Default has occurred;</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(ix)</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an officer’s certificate, in the form acceptable to the Purchasers, executed by an authorized officer of the Company and dated as of the Closing Date, as to (i) the resolutions adopted by the Board of Directors authorizing the transactions contemplated hereby in a form reasonably acceptable to the Purchasers, and (ii) the articles of incorporation and bylaws of the Company, each as in effect at the Closing;</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 xml:space="preserve">a certificate of good standing or its equivalent of the Company issued by the State of Nevada, as of a date within ten (10) days of the Closing Date; </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(xi)</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a letter from the Transfer Agent certifying the number of shares of Common Stock outstanding on the First Closing Date immediately prior to the First Closing; and</w:t>
            </w:r>
          </w:p>
        </w:tc>
      </w:tr>
      <w:tr>
        <w:trPr/>
        <w:tc>
          <w:tcPr>
            <w:tcW w:w="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left"/>
              <w:rPr/>
            </w:pPr>
            <w:r>
              <w:rPr/>
              <w:t> </w:t>
            </w:r>
          </w:p>
        </w:tc>
      </w:tr>
      <w:tr>
        <w:trPr/>
        <w:tc>
          <w:tcPr>
            <w:tcW w:w="420" w:type="dxa"/>
            <w:tcBorders/>
            <w:vAlign w:val="center"/>
          </w:tcPr>
          <w:p>
            <w:pPr>
              <w:pStyle w:val="TableContents"/>
              <w:bidi w:val="0"/>
              <w:spacing w:before="0" w:after="283"/>
              <w:jc w:val="right"/>
              <w:rPr/>
            </w:pPr>
            <w:r>
              <w:rPr/>
              <w:t>(xii)</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such other documents, instruments or certificates relating to the transactions contemplated by this Agreement as a Purchaser or its counsel may reasonably request.</w:t>
            </w:r>
          </w:p>
        </w:tc>
      </w:tr>
    </w:tbl>
    <w:p>
      <w:pPr>
        <w:pStyle w:val="TextBody"/>
        <w:bidi w:val="0"/>
        <w:spacing w:before="0" w:after="240"/>
        <w:ind w:left="1440" w:right="0" w:firstLine="72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E-8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(b)                On or prior to the First Closing Date, each Purchaser, and the Placement Agent, as applicable, shall deliver or cause to be delivered to the Company the following:</w: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Agreement duly executed by such Purchaser;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           the Registration Rights Agreement duly executed by such Purchaser;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          the Placement Agent Agreement duly executed by the Placement Agent.</w:t>
      </w:r>
    </w:p>
    <w:tbl>
      <w:tblPr>
        <w:tblW w:w="1998" w:type="dxa"/>
        <w:jc w:val="left"/>
        <w:tblInd w:w="0" w:type="dxa"/>
        <w:tblLayout w:type="fixed"/>
        <w:tblCellMar>
          <w:top w:w="0" w:type="dxa"/>
          <w:left w:w="0" w:type="dxa"/>
          <w:bottom w:w="0" w:type="dxa"/>
          <w:right w:w="0" w:type="dxa"/>
        </w:tblCellMar>
      </w:tblPr>
      <w:tblGrid>
        <w:gridCol w:w="38"/>
        <w:gridCol w:w="275"/>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1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Closing Conditions</w:t>
            </w:r>
            <w:r>
              <w:rPr>
                <w:rFonts w:ascii="Times New Roman;Times;Serif" w:hAnsi="Times New Roman;Times;Serif"/>
                <w:sz w:val="20"/>
              </w:rPr>
              <w:t>.</w:t>
            </w:r>
          </w:p>
        </w:tc>
      </w:tr>
    </w:tbl>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The obligations of the Company hereunder in connection with each Closing are subject to the following conditions being met: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            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           all obligations, covenants and agreements of each Purchaser required to be performed at or prior to the Closing Date shall have been performed;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          the delivery by each Purchaser of the items set forth in Section 2.2(b) of this Agreement.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(b)                The respective obligations of the Purchasers hereunder in connection with the Closing are subject to the following conditions being met: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           all obligations, covenants and agreements of the Company required to be performed at or prior to the applicable Closing Date shall have been performed;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          the delivery by the Company of the items set forth in Section 2.2(a) of this Agreement;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(iv)          there shall have been no Material Adverse Effect with respect to the Company;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(v)           the Company shall be current with and shall have timely filed all SEC Reports required to have been filed as of the Closing Date (subject to any applicable grace periods);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(vi)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E-9 </w:t>
      </w:r>
    </w:p>
    <w:p>
      <w:pPr>
        <w:pStyle w:val="TextBody"/>
        <w:bidi w:val="0"/>
        <w:spacing w:before="0" w:after="0"/>
        <w:ind w:left="0" w:right="0" w:hanging="0"/>
        <w:jc w:val="left"/>
        <w:rPr/>
      </w:pPr>
      <w:r>
        <w:rPr/>
        <w:t> </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ARTICLE III.</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REPRESENTATIONS AND WARRANTIES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3.1       </w:t>
      </w:r>
      <w:r>
        <w:rPr>
          <w:rFonts w:ascii="Times New Roman;Times;Serif" w:hAnsi="Times New Roman;Times;Serif"/>
          <w:sz w:val="20"/>
          <w:u w:val="single"/>
        </w:rPr>
        <w:t>Representations and Warranties of the Company</w:t>
      </w:r>
      <w:r>
        <w:rPr>
          <w:rFonts w:ascii="Times New Roman;Times;Serif" w:hAnsi="Times New Roman;Times;Serif"/>
          <w:sz w:val="20"/>
        </w:rPr>
        <w:t>. Except as set forth in the Disclosure Schedules, which Disclosure Schedules shall be deemed a part hereof and shall qualify any representation made herein to the extent of the disclosure contained in the corresponding section of the Disclosure Schedules, and the SEC Reports, the Company hereby makes the following representations and warranties to each Purchaser: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Subsidiaries</w:t>
      </w:r>
      <w:r>
        <w:rPr>
          <w:rFonts w:ascii="Times New Roman;Times;Serif" w:hAnsi="Times New Roman;Times;Serif"/>
          <w:sz w:val="20"/>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Organization and Qualification</w:t>
      </w:r>
      <w:r>
        <w:rPr>
          <w:rFonts w:ascii="Times New Roman;Times;Serif" w:hAnsi="Times New Roman;Times;Serif"/>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material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sz w:val="20"/>
          <w:u w:val="single"/>
        </w:rPr>
        <w:t>Material Adverse Effect</w:t>
      </w:r>
      <w:r>
        <w:rPr>
          <w:rFonts w:ascii="Times New Roman;Times;Serif" w:hAnsi="Times New Roman;Times;Serif"/>
          <w:sz w:val="20"/>
        </w:rPr>
        <w:t>”); provided, however, that “Material Adverse Effect” shall not include any event, occurrence, fact, condition, or change, directly or indirectly, arising out of or attributable to (i) the announcement, pendency, or completion of the transactions contemplated by the Transaction Documents, or (ii) any action required or permitted by the Transaction Documents. To the Company’s knowledge, no Proceeding has been instituted in any such jurisdiction revoking, limiting or curtailing or seeking to revoke, limit or curtail such power and authority or qualification.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E-10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Authorization; Enforcement</w:t>
      </w:r>
      <w:r>
        <w:rPr>
          <w:rFonts w:ascii="Times New Roman;Times;Serif" w:hAnsi="Times New Roman;Times;Serif"/>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including, the Shareholder Approval.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No Conflicts</w:t>
      </w:r>
      <w:r>
        <w:rPr>
          <w:rFonts w:ascii="Times New Roman;Times;Serif" w:hAnsi="Times New Roman;Times;Serif"/>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Filings, Consents and Approvals</w:t>
      </w:r>
      <w:r>
        <w:rPr>
          <w:rFonts w:ascii="Times New Roman;Times;Serif" w:hAnsi="Times New Roman;Times;Serif"/>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4.6 of this Agreement, (ii) the filings with the Commission required pursuant to the Registration Rights Agreement, (iii) the notice and/or application(s) to each applicable Trading Market for the issuance and sale of the Securities and the listing of the Underlying Shares and the Warrants for trading thereon in the time and manner required thereby, (iv) the filing of Form D with the Commission and such filings as are required to be made under applicable state securities laws, (v) the filing of the Certificate of Designation following the receipt of Shareholder Approval, and (vi) Shareholder Approval (collectively, the “</w:t>
      </w:r>
      <w:r>
        <w:rPr>
          <w:rFonts w:ascii="Times New Roman;Times;Serif" w:hAnsi="Times New Roman;Times;Serif"/>
          <w:sz w:val="20"/>
          <w:u w:val="single"/>
        </w:rPr>
        <w:t>Required Approvals</w:t>
      </w: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E-11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Issuance of the Securities</w:t>
      </w:r>
      <w:r>
        <w:rPr>
          <w:rFonts w:ascii="Times New Roman;Times;Serif" w:hAnsi="Times New Roman;Times;Serif"/>
          <w:sz w:val="20"/>
        </w:rPr>
        <w:t xml:space="preserve">.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and applicable law;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issuance of the Preferred Stock, the Underlying Shares and the Warrant Shares is subject to the Company’s receipt of the Shareholder Approval, the effectiveness of any related amendment to the Company’s articles of incorporation, the filing and effectiveness of the Certificate of Designation, the availability of a sufficient number of authorized and unissued shares of Common Stock, and compliance with applicable law and Trading Market requirements, as applicable. The Debentures will constitute valid and binding obligations of the Company. The Underlying Shares, when issued in accordance with the terms of the Transaction Documents, and, as to Underlying Shares representing conversions of the Preferred Stock, following the Company’s receipt of the Shareholder Approval, the effectiveness of any related amendment to the Company’s articles of incorporation, and the filing and effectiveness of the Certificate of Designation, and in each case subject to the availability of a sufficient number of authorized and unissued shares of Common Stock and compliance with applicable law and Trading Market requirements, will be validly issued, fully paid and nonassessable, free and clear of all Liens imposed by the Company other than restrictions on transfer provided for in the Transaction Documents. The Warrant Shares, when issued in accordance with the terms of the Warrants, and subject to the Company’s receipt of the Shareholder Approval to the extent required for issuances in excess of the applicable Issuable Maximum, the availability of a sufficient number of authorized and unissued shares of Common Stock, and compliance with applicable law and Trading Market requirements, will be validly issued, fully paid and nonassessable, free and clear of all Liens imposed by the Company other than restrictions on transfer provided for in the Transaction Documents. As of the date hereof, the Company has reserved from its duly authorized capital stock the maximum number of shares of Common Stock currently available for issuance pursuant to the Transaction Documents.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Capitalization</w:t>
      </w:r>
      <w:r>
        <w:rPr>
          <w:rFonts w:ascii="Times New Roman;Times;Serif" w:hAnsi="Times New Roman;Times;Serif"/>
          <w:sz w:val="20"/>
        </w:rPr>
        <w:t>. The capitalization of the Company as of the date hereof is as set forth in the SEC Reports. Except as set forth in the SEC Reports or Schedule 3.1(g),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Except as set forth in the SEC Reports,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Other than the Shareholder Approval, no further approval or authorization of any stockholder, the Board of Directors or others is required for the issuance and sale of the Securities. Except as set forth in the SEC Reports,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E-12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SEC Reports; Financial Statements</w:t>
      </w:r>
      <w:r>
        <w:rPr>
          <w:rFonts w:ascii="Times New Roman;Times;Serif" w:hAnsi="Times New Roman;Times;Serif"/>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sz w:val="20"/>
          <w:u w:val="single"/>
        </w:rPr>
        <w:t>SEC Reports</w:t>
      </w:r>
      <w:r>
        <w:rPr>
          <w:rFonts w:ascii="Times New Roman;Times;Serif" w:hAnsi="Times New Roman;Times;Serif"/>
          <w:sz w:val="20"/>
        </w:rPr>
        <w:t>”) on a timely basis including any extensions permitted by Rule 12b-25 under the Exchange Act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sz w:val="20"/>
          <w:u w:val="single"/>
        </w:rPr>
        <w:t>GAAP</w:t>
      </w:r>
      <w:r>
        <w:rPr>
          <w:rFonts w:ascii="Times New Roman;Times;Serif" w:hAnsi="Times New Roman;Times;Serif"/>
          <w:sz w:val="20"/>
        </w:rPr>
        <w:t xml:space="preserve">”),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Material Changes; Undisclosed Events, Liabilities or Developments</w:t>
      </w:r>
      <w:r>
        <w:rPr>
          <w:rFonts w:ascii="Times New Roman;Times;Serif" w:hAnsi="Times New Roman;Times;Serif"/>
          <w:sz w:val="20"/>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in the SEC Reports, to the knowledge of the Company, no event, liability, fact, circumstance, occurrence or development has occurred or exists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Litigation</w:t>
      </w:r>
      <w:r>
        <w:rPr>
          <w:rFonts w:ascii="Times New Roman;Times;Serif" w:hAnsi="Times New Roman;Times;Serif"/>
          <w:sz w:val="20"/>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sz w:val="20"/>
          <w:u w:val="single"/>
        </w:rPr>
        <w:t>Action</w:t>
      </w:r>
      <w:r>
        <w:rPr>
          <w:rFonts w:ascii="Times New Roman;Times;Serif" w:hAnsi="Times New Roman;Times;Serif"/>
          <w:sz w:val="20"/>
        </w:rPr>
        <w:t>”). Except as set forth in the SEC Reports, there is no Action that (i) adversely affects or challenges the legality, validity or enforceability of any of the Transaction Documents or the Securities or (ii) would, if there were an unfavorable decision, have or reasonably be expected to result in a Material Adverse Effect. Neither the Company nor any Subsidiary, nor any director or officer thereof, is the subject of any pending Action involving a claim of violation of or liability under federal or state securities laws or a claim of breach of fiduciary duty. Except as set forth in the SEC Reports, there has not been, and to the knowledge of the Company, there is not pending or contemplated, any investigation by the Commission involving the Company or any current or former director or officer of the Company, except in the ordinary course of business that would not have a Material Adverse Effect.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E-13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(k)                </w:t>
      </w:r>
      <w:r>
        <w:rPr>
          <w:rFonts w:ascii="Times New Roman;Times;Serif" w:hAnsi="Times New Roman;Times;Serif"/>
          <w:sz w:val="20"/>
          <w:u w:val="single"/>
        </w:rPr>
        <w:t>Labor Relations</w:t>
      </w:r>
      <w:r>
        <w:rPr>
          <w:rFonts w:ascii="Times New Roman;Times;Serif" w:hAnsi="Times New Roman;Times;Serif"/>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To the knowledge of the Company the Company and its Subsidiaries believe that their relationships with their employees are satisfactory in all material respects.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(l)                 </w:t>
      </w:r>
      <w:r>
        <w:rPr>
          <w:rFonts w:ascii="Times New Roman;Times;Serif" w:hAnsi="Times New Roman;Times;Serif"/>
          <w:sz w:val="20"/>
          <w:u w:val="single"/>
        </w:rPr>
        <w:t>Compliance</w:t>
      </w:r>
      <w:r>
        <w:rPr>
          <w:rFonts w:ascii="Times New Roman;Times;Serif" w:hAnsi="Times New Roman;Times;Serif"/>
          <w:sz w:val="20"/>
        </w:rPr>
        <w:t xml:space="preserve">.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(m)              </w:t>
      </w:r>
      <w:r>
        <w:rPr>
          <w:rFonts w:ascii="Times New Roman;Times;Serif" w:hAnsi="Times New Roman;Times;Serif"/>
          <w:sz w:val="20"/>
          <w:u w:val="single"/>
        </w:rPr>
        <w:t>Environmental Laws</w:t>
      </w:r>
      <w:r>
        <w:rPr>
          <w:rFonts w:ascii="Times New Roman;Times;Serif" w:hAnsi="Times New Roman;Times;Serif"/>
          <w:sz w:val="20"/>
        </w:rPr>
        <w:t>.</w:t>
        <w:tab/>
        <w:t>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sz w:val="20"/>
          <w:u w:val="single"/>
        </w:rPr>
        <w:t>Hazardous Materials</w:t>
      </w:r>
      <w:r>
        <w:rPr>
          <w:rFonts w:ascii="Times New Roman;Times;Serif" w:hAnsi="Times New Roman;Times;Serif"/>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sz w:val="20"/>
          <w:u w:val="single"/>
        </w:rPr>
        <w:t>Environmental Laws</w:t>
      </w:r>
      <w:r>
        <w:rPr>
          <w:rFonts w:ascii="Times New Roman;Times;Serif" w:hAnsi="Times New Roman;Times;Serif"/>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(n)                </w:t>
      </w:r>
      <w:r>
        <w:rPr>
          <w:rFonts w:ascii="Times New Roman;Times;Serif" w:hAnsi="Times New Roman;Times;Serif"/>
          <w:sz w:val="20"/>
          <w:u w:val="single"/>
        </w:rPr>
        <w:t>Regulatory Permits</w:t>
      </w:r>
      <w:r>
        <w:rPr>
          <w:rFonts w:ascii="Times New Roman;Times;Serif" w:hAnsi="Times New Roman;Times;Serif"/>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sz w:val="20"/>
          <w:u w:val="single"/>
        </w:rPr>
        <w:t>Material Permits</w:t>
      </w:r>
      <w:r>
        <w:rPr>
          <w:rFonts w:ascii="Times New Roman;Times;Serif" w:hAnsi="Times New Roman;Times;Serif"/>
          <w:sz w:val="20"/>
        </w:rPr>
        <w:t>”), and neither the Company nor any Subsidiary has received any notice of proceedings relating to the revocation or modification of any Material Permit.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(o)                </w:t>
      </w:r>
      <w:r>
        <w:rPr>
          <w:rFonts w:ascii="Times New Roman;Times;Serif" w:hAnsi="Times New Roman;Times;Serif"/>
          <w:sz w:val="20"/>
          <w:u w:val="single"/>
        </w:rPr>
        <w:t>Title to Assets</w:t>
      </w:r>
      <w:r>
        <w:rPr>
          <w:rFonts w:ascii="Times New Roman;Times;Serif" w:hAnsi="Times New Roman;Times;Serif"/>
          <w:sz w:val="20"/>
        </w:rPr>
        <w:t>. The Company and the Subsidiaries have good and marketable title in fee simple to, or have valid and marketable rights to lease or otherwise use, all real property owned by them and good and marketable title in all personal property owned by them that is material to the business of the Company and the Subsidiaries, in each case free and clear of all Liens, except for (i) Liens that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E-14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(p)                </w:t>
      </w:r>
      <w:r>
        <w:rPr>
          <w:rFonts w:ascii="Times New Roman;Times;Serif" w:hAnsi="Times New Roman;Times;Serif"/>
          <w:sz w:val="20"/>
          <w:u w:val="single"/>
        </w:rPr>
        <w:t>Intellectual Property</w:t>
      </w:r>
      <w:r>
        <w:rPr>
          <w:rFonts w:ascii="Times New Roman;Times;Serif" w:hAnsi="Times New Roman;Times;Serif"/>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sz w:val="20"/>
          <w:u w:val="single"/>
        </w:rPr>
        <w:t>Intellectual Property Rights</w:t>
      </w:r>
      <w:r>
        <w:rPr>
          <w:rFonts w:ascii="Times New Roman;Times;Serif" w:hAnsi="Times New Roman;Times;Serif"/>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such expiration, termination or abandonment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that would be reasonably expected to have a Material Adverse Effect.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(q)                </w:t>
      </w:r>
      <w:r>
        <w:rPr>
          <w:rFonts w:ascii="Times New Roman;Times;Serif" w:hAnsi="Times New Roman;Times;Serif"/>
          <w:sz w:val="20"/>
          <w:u w:val="single"/>
        </w:rPr>
        <w:t>Insurance</w:t>
      </w:r>
      <w:r>
        <w:rPr>
          <w:rFonts w:ascii="Times New Roman;Times;Serif" w:hAnsi="Times New Roman;Times;Serif"/>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in amounts satisfactory to the Board and comparable to other similarly situated public companies in the industry in which the Company operates. Neither the Company nor any Subsidiary has any reason to believe that it will not be able to renew its existing insurance coverage as and when such coverage expires or to obtain similar coverage from similar insurers as necessary to continue its business without a significant increase in cost.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(r)                 </w:t>
      </w:r>
      <w:r>
        <w:rPr>
          <w:rFonts w:ascii="Times New Roman;Times;Serif" w:hAnsi="Times New Roman;Times;Serif"/>
          <w:sz w:val="20"/>
          <w:u w:val="single"/>
        </w:rPr>
        <w:t>Transactions with Affiliates and Employees</w:t>
      </w:r>
      <w:r>
        <w:rPr>
          <w:rFonts w:ascii="Times New Roman;Times;Serif" w:hAnsi="Times New Roman;Times;Serif"/>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z w:val="20"/>
          <w:u w:val="single"/>
        </w:rPr>
        <w:t>Sarbanes-Oxley; Internal Accounting Controls</w:t>
      </w:r>
      <w:r>
        <w:rPr>
          <w:rFonts w:ascii="Times New Roman;Times;Serif" w:hAnsi="Times New Roman;Times;Serif"/>
          <w:sz w:val="20"/>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sz w:val="20"/>
          <w:u w:val="single"/>
        </w:rPr>
        <w:t>Evaluation Date</w:t>
      </w:r>
      <w:r>
        <w:rPr>
          <w:rFonts w:ascii="Times New Roman;Times;Serif" w:hAnsi="Times New Roman;Times;Serif"/>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E-15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(t)                 </w:t>
      </w:r>
      <w:r>
        <w:rPr>
          <w:rFonts w:ascii="Times New Roman;Times;Serif" w:hAnsi="Times New Roman;Times;Serif"/>
          <w:sz w:val="20"/>
          <w:u w:val="single"/>
        </w:rPr>
        <w:t>Certain Fees</w:t>
      </w:r>
      <w:r>
        <w:rPr>
          <w:rFonts w:ascii="Times New Roman;Times;Serif" w:hAnsi="Times New Roman;Times;Serif"/>
          <w:sz w:val="20"/>
        </w:rPr>
        <w:t>. Except for the fees and expenses of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(u)                </w:t>
      </w:r>
      <w:r>
        <w:rPr>
          <w:rFonts w:ascii="Times New Roman;Times;Serif" w:hAnsi="Times New Roman;Times;Serif"/>
          <w:sz w:val="20"/>
          <w:u w:val="single"/>
        </w:rPr>
        <w:t>Private Placement</w:t>
      </w:r>
      <w:r>
        <w:rPr>
          <w:rFonts w:ascii="Times New Roman;Times;Serif" w:hAnsi="Times New Roman;Times;Serif"/>
          <w:sz w:val="20"/>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(v)                </w:t>
      </w:r>
      <w:r>
        <w:rPr>
          <w:rFonts w:ascii="Times New Roman;Times;Serif" w:hAnsi="Times New Roman;Times;Serif"/>
          <w:sz w:val="20"/>
          <w:u w:val="single"/>
        </w:rPr>
        <w:t>Investment Company.</w:t>
      </w:r>
      <w:r>
        <w:rPr>
          <w:rFonts w:ascii="Times New Roman;Times;Serif" w:hAnsi="Times New Roman;Times;Serif"/>
          <w:sz w:val="20"/>
        </w:rPr>
        <w:t xml:space="preserve">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(w)               </w:t>
      </w:r>
      <w:r>
        <w:rPr>
          <w:rFonts w:ascii="Times New Roman;Times;Serif" w:hAnsi="Times New Roman;Times;Serif"/>
          <w:sz w:val="20"/>
          <w:u w:val="single"/>
        </w:rPr>
        <w:t>Registration Rights</w:t>
      </w:r>
      <w:r>
        <w:rPr>
          <w:rFonts w:ascii="Times New Roman;Times;Serif" w:hAnsi="Times New Roman;Times;Serif"/>
          <w:sz w:val="20"/>
        </w:rPr>
        <w:t>. Except as set forth in the SEC Reports, other than each of the Purchasers, no Person has any right to cause the Company or any Subsidiary to effect the registration under the Securities Act of any securities of the Company or any Subsidiary.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(x)                </w:t>
      </w:r>
      <w:r>
        <w:rPr>
          <w:rFonts w:ascii="Times New Roman;Times;Serif" w:hAnsi="Times New Roman;Times;Serif"/>
          <w:sz w:val="20"/>
          <w:u w:val="single"/>
        </w:rPr>
        <w:t>Listing and Maintenance Requirements</w:t>
      </w:r>
      <w:r>
        <w:rPr>
          <w:rFonts w:ascii="Times New Roman;Times;Serif" w:hAnsi="Times New Roman;Times;Serif"/>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in the SEC Reports.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(y)                </w:t>
      </w:r>
      <w:r>
        <w:rPr>
          <w:rFonts w:ascii="Times New Roman;Times;Serif" w:hAnsi="Times New Roman;Times;Serif"/>
          <w:sz w:val="20"/>
          <w:u w:val="single"/>
        </w:rPr>
        <w:t>Application of Takeover Protections</w:t>
      </w:r>
      <w:r>
        <w:rPr>
          <w:rFonts w:ascii="Times New Roman;Times;Serif" w:hAnsi="Times New Roman;Times;Serif"/>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articles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(z)                </w:t>
      </w:r>
      <w:r>
        <w:rPr>
          <w:rFonts w:ascii="Times New Roman;Times;Serif" w:hAnsi="Times New Roman;Times;Serif"/>
          <w:sz w:val="20"/>
          <w:u w:val="single"/>
        </w:rPr>
        <w:t>Disclosure</w:t>
      </w:r>
      <w:r>
        <w:rPr>
          <w:rFonts w:ascii="Times New Roman;Times;Serif" w:hAnsi="Times New Roman;Times;Serif"/>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disclosures furnished by or on behalf of the Company to the Purchasers regarding the Company and its Subsidiaries, their respective businesses and the transactions contemplated hereby, including the Disclosure schedules to this Agreement, is in all material respects true and correct and does not contain any untrue statement of a material fact or omit to state any material fact necessary in order to make the statements made therein, in the light of the circumstances under which they were made, not misleading. To the knowledge of the Company, the press releases disseminated by the Company during the twelve (12)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(aa)              </w:t>
      </w:r>
      <w:r>
        <w:rPr>
          <w:rFonts w:ascii="Times New Roman;Times;Serif" w:hAnsi="Times New Roman;Times;Serif"/>
          <w:sz w:val="20"/>
          <w:u w:val="single"/>
        </w:rPr>
        <w:t>No Integrated Offering</w:t>
      </w:r>
      <w:r>
        <w:rPr>
          <w:rFonts w:ascii="Times New Roman;Times;Serif" w:hAnsi="Times New Roman;Times;Serif"/>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E-16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(bb)            </w:t>
      </w:r>
      <w:r>
        <w:rPr>
          <w:rFonts w:ascii="Times New Roman;Times;Serif" w:hAnsi="Times New Roman;Times;Serif"/>
          <w:sz w:val="20"/>
          <w:u w:val="single"/>
        </w:rPr>
        <w:t>Solvency</w:t>
      </w:r>
      <w:r>
        <w:rPr>
          <w:rFonts w:ascii="Times New Roman;Times;Serif" w:hAnsi="Times New Roman;Times;Serif"/>
          <w:sz w:val="20"/>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sz w:val="20"/>
          <w:u w:val="single"/>
        </w:rPr>
        <w:t>Indebtedness</w:t>
      </w:r>
      <w:r>
        <w:rPr>
          <w:rFonts w:ascii="Times New Roman;Times;Serif" w:hAnsi="Times New Roman;Times;Serif"/>
          <w:sz w:val="20"/>
        </w:rPr>
        <w:t>” means (a) any liabilities for borrowed money or amounts owed in excess of $100,000 (other than trade accounts payable incurred in the ordinary course of business) evidenced by bonds, debentures, notes, loan agreements or similar instruments, (b) all guaranties, endorsements and other contingent obligations in respect of indebtedness of others, whether or not the same are or should be reflected in the Company’s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 Neither the Company nor any Subsidiary is in default with respect to any Indebtedness.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(cc)             </w:t>
      </w:r>
      <w:r>
        <w:rPr>
          <w:rFonts w:ascii="Times New Roman;Times;Serif" w:hAnsi="Times New Roman;Times;Serif"/>
          <w:sz w:val="20"/>
          <w:u w:val="single"/>
        </w:rPr>
        <w:t>Tax Status</w:t>
      </w:r>
      <w:r>
        <w:rPr>
          <w:rFonts w:ascii="Times New Roman;Times;Serif" w:hAnsi="Times New Roman;Times;Serif"/>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material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(dd)            </w:t>
      </w:r>
      <w:r>
        <w:rPr>
          <w:rFonts w:ascii="Times New Roman;Times;Serif" w:hAnsi="Times New Roman;Times;Serif"/>
          <w:sz w:val="20"/>
          <w:u w:val="single"/>
        </w:rPr>
        <w:t>No General Solicitation</w:t>
      </w:r>
      <w:r>
        <w:rPr>
          <w:rFonts w:ascii="Times New Roman;Times;Serif" w:hAnsi="Times New Roman;Times;Serif"/>
          <w:sz w:val="20"/>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(ee)             </w:t>
      </w:r>
      <w:r>
        <w:rPr>
          <w:rFonts w:ascii="Times New Roman;Times;Serif" w:hAnsi="Times New Roman;Times;Serif"/>
          <w:sz w:val="20"/>
          <w:u w:val="single"/>
        </w:rPr>
        <w:t>Foreign Corrupt Practices.</w:t>
      </w:r>
      <w:r>
        <w:rPr>
          <w:rFonts w:ascii="Times New Roman;Times;Serif" w:hAnsi="Times New Roman;Times;Serif"/>
          <w:sz w:val="20"/>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E-17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(ff)               </w:t>
      </w:r>
      <w:r>
        <w:rPr>
          <w:rFonts w:ascii="Times New Roman;Times;Serif" w:hAnsi="Times New Roman;Times;Serif"/>
          <w:sz w:val="20"/>
          <w:u w:val="single"/>
        </w:rPr>
        <w:t>Accountants</w:t>
      </w:r>
      <w:r>
        <w:rPr>
          <w:rFonts w:ascii="Times New Roman;Times;Serif" w:hAnsi="Times New Roman;Times;Serif"/>
          <w:sz w:val="20"/>
        </w:rPr>
        <w:t>. The Company’s accounting firm is set forth in the SEC Reports. To the knowledge and belief of the Company, such accounting firm shall express its opinion with respect to the financial statements to be included in the Company’s Annual Report for the fiscal year ending December 31, 2026, unless and until such time as the Company may appoint a successor registered public accounting firm as required by the Exchange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(gg)             </w:t>
      </w:r>
      <w:r>
        <w:rPr>
          <w:rFonts w:ascii="Times New Roman;Times;Serif" w:hAnsi="Times New Roman;Times;Serif"/>
          <w:sz w:val="20"/>
          <w:u w:val="single"/>
        </w:rPr>
        <w:t>Seniority</w:t>
      </w:r>
      <w:r>
        <w:rPr>
          <w:rFonts w:ascii="Times New Roman;Times;Serif" w:hAnsi="Times New Roman;Times;Serif"/>
          <w:sz w:val="20"/>
        </w:rPr>
        <w:t>. Except as otherwise disclosed in the SEC Reports, as of the Closing Date, no Indebtedness or other claim against the Company is senior to the Debentures in right of payment, whether with respect to interest or upon liquidation or dissolution, or otherwise, other than indebtedness secured by purchase money security interests (which is senior only as to underlying assets covered thereby) and capital lease obligations (which is senior only as to the property covered thereby).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(hh)             </w:t>
      </w:r>
      <w:r>
        <w:rPr>
          <w:rFonts w:ascii="Times New Roman;Times;Serif" w:hAnsi="Times New Roman;Times;Serif"/>
          <w:sz w:val="20"/>
          <w:u w:val="single"/>
        </w:rPr>
        <w:t>No Disagreements with Accountants and Lawyers.</w:t>
      </w:r>
      <w:r>
        <w:rPr>
          <w:rFonts w:ascii="Times New Roman;Times;Serif" w:hAnsi="Times New Roman;Times;Serif"/>
          <w:sz w:val="20"/>
        </w:rPr>
        <w:t xml:space="preserve">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Acknowledgment Regarding Purchasers’ Purchase of Securities</w:t>
      </w:r>
      <w:r>
        <w:rPr>
          <w:rFonts w:ascii="Times New Roman;Times;Serif" w:hAnsi="Times New Roman;Times;Serif"/>
          <w:sz w:val="20"/>
        </w:rPr>
        <w:t xml:space="preserve">.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 The Company further represents that, to its knowledge, each Purchaser is participating in the offering of Securities contemplated hereby separately and independently of the other Purchasers.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(jj)               </w:t>
      </w:r>
      <w:r>
        <w:rPr>
          <w:rFonts w:ascii="Times New Roman;Times;Serif" w:hAnsi="Times New Roman;Times;Serif"/>
          <w:sz w:val="20"/>
          <w:u w:val="single"/>
        </w:rPr>
        <w:t>Acknowledgment Regarding Purchaser’s Trading Activity</w:t>
      </w:r>
      <w:r>
        <w:rPr>
          <w:rFonts w:ascii="Times New Roman;Times;Serif" w:hAnsi="Times New Roman;Times;Serif"/>
          <w:sz w:val="20"/>
        </w:rPr>
        <w:t>. Notwithstanding anything in this Agreement or elsewhere herein to the contrary notwithstanding (except for Sections 3.2(g) and 4.15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may presently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Underlying Shares and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E-18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(kk)             </w:t>
      </w:r>
      <w:r>
        <w:rPr>
          <w:rFonts w:ascii="Times New Roman;Times;Serif" w:hAnsi="Times New Roman;Times;Serif"/>
          <w:sz w:val="20"/>
          <w:u w:val="single"/>
        </w:rPr>
        <w:t>Regulation M Compliance</w:t>
      </w:r>
      <w:r>
        <w:rPr>
          <w:rFonts w:ascii="Times New Roman;Times;Serif" w:hAnsi="Times New Roman;Times;Serif"/>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(ll)               </w:t>
      </w:r>
      <w:r>
        <w:rPr>
          <w:rFonts w:ascii="Times New Roman;Times;Serif" w:hAnsi="Times New Roman;Times;Serif"/>
          <w:spacing w:val="-3"/>
          <w:sz w:val="20"/>
          <w:u w:val="single"/>
        </w:rPr>
        <w:t>Reserved</w:t>
      </w:r>
      <w:r>
        <w:rPr>
          <w:rFonts w:ascii="Times New Roman;Times;Serif" w:hAnsi="Times New Roman;Times;Serif"/>
          <w:spacing w:val="-3"/>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(mm)           </w:t>
      </w:r>
      <w:r>
        <w:rPr>
          <w:rFonts w:ascii="Times New Roman;Times;Serif" w:hAnsi="Times New Roman;Times;Serif"/>
          <w:sz w:val="20"/>
          <w:u w:val="single"/>
        </w:rPr>
        <w:t>Form S-3 Eligibility</w:t>
      </w:r>
      <w:r>
        <w:rPr>
          <w:rFonts w:ascii="Times New Roman;Times;Serif" w:hAnsi="Times New Roman;Times;Serif"/>
          <w:sz w:val="20"/>
        </w:rPr>
        <w:t>.</w:t>
        <w:tab/>
        <w:t>The Company is eligible to register the resale of the Underlying Shares for resale by the Purchasers on Form S-3 promulgated under the Securities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(nn)            </w:t>
      </w:r>
      <w:r>
        <w:rPr>
          <w:rFonts w:ascii="Times New Roman;Times;Serif" w:hAnsi="Times New Roman;Times;Serif"/>
          <w:sz w:val="20"/>
          <w:u w:val="single"/>
        </w:rPr>
        <w:t>Stock Option Plans</w:t>
      </w:r>
      <w:r>
        <w:rPr>
          <w:rFonts w:ascii="Times New Roman;Times;Serif" w:hAnsi="Times New Roman;Times;Serif"/>
          <w:sz w:val="20"/>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(oo)             </w:t>
      </w:r>
      <w:r>
        <w:rPr>
          <w:rFonts w:ascii="Times New Roman;Times;Serif" w:hAnsi="Times New Roman;Times;Serif"/>
          <w:sz w:val="20"/>
          <w:u w:val="single"/>
        </w:rPr>
        <w:t>Cybersecurity</w:t>
      </w:r>
      <w:r>
        <w:rPr>
          <w:rFonts w:ascii="Times New Roman;Times;Serif" w:hAnsi="Times New Roman;Times;Serif"/>
          <w:sz w:val="20"/>
        </w:rPr>
        <w:t>.  (i)(x) To the knowledge of the Company,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sz w:val="20"/>
          <w:u w:val="single"/>
        </w:rPr>
        <w:t>IT Systems and Data</w:t>
      </w:r>
      <w:r>
        <w:rPr>
          <w:rFonts w:ascii="Times New Roman;Times;Serif" w:hAnsi="Times New Roman;Times;Serif"/>
          <w:sz w:val="20"/>
        </w:rPr>
        <w:t>”) during the three (3) years preceding the date hereof,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E-19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(pp)             </w:t>
      </w:r>
      <w:r>
        <w:rPr>
          <w:rFonts w:ascii="Times New Roman;Times;Serif" w:hAnsi="Times New Roman;Times;Serif"/>
          <w:sz w:val="20"/>
          <w:u w:val="single"/>
        </w:rPr>
        <w:t>Compliance with Data Privacy Laws</w:t>
      </w:r>
      <w:r>
        <w:rPr>
          <w:rFonts w:ascii="Times New Roman;Times;Serif" w:hAnsi="Times New Roman;Times;Serif"/>
          <w:sz w:val="20"/>
        </w:rPr>
        <w:t>. To the knowledge of the Company,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Times;Serif" w:hAnsi="Times New Roman;Times;Serif"/>
          <w:sz w:val="20"/>
          <w:u w:val="single"/>
        </w:rPr>
        <w:t>GDPR</w:t>
      </w:r>
      <w:r>
        <w:rPr>
          <w:rFonts w:ascii="Times New Roman;Times;Serif" w:hAnsi="Times New Roman;Times;Serif"/>
          <w:sz w:val="20"/>
        </w:rPr>
        <w:t>”) (EU 2016/679) (collectively, “</w:t>
      </w:r>
      <w:r>
        <w:rPr>
          <w:rFonts w:ascii="Times New Roman;Times;Serif" w:hAnsi="Times New Roman;Times;Serif"/>
          <w:sz w:val="20"/>
          <w:u w:val="single"/>
        </w:rPr>
        <w:t>Privacy Laws</w:t>
      </w:r>
      <w:r>
        <w:rPr>
          <w:rFonts w:ascii="Times New Roman;Times;Serif" w:hAnsi="Times New Roman;Times;Serif"/>
          <w:sz w:val="20"/>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Times;Serif" w:hAnsi="Times New Roman;Times;Serif"/>
          <w:sz w:val="20"/>
          <w:u w:val="single"/>
        </w:rPr>
        <w:t>Policies</w:t>
      </w:r>
      <w:r>
        <w:rPr>
          <w:rFonts w:ascii="Times New Roman;Times;Serif" w:hAnsi="Times New Roman;Times;Serif"/>
          <w:sz w:val="20"/>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Times;Serif" w:hAnsi="Times New Roman;Times;Serif"/>
          <w:sz w:val="20"/>
          <w:u w:val="single"/>
        </w:rPr>
        <w:t>Personal Data</w:t>
      </w:r>
      <w:r>
        <w:rPr>
          <w:rFonts w:ascii="Times New Roman;Times;Serif" w:hAnsi="Times New Roman;Times;Serif"/>
          <w:sz w:val="20"/>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(qq)             </w:t>
      </w:r>
      <w:r>
        <w:rPr>
          <w:rFonts w:ascii="Times New Roman;Times;Serif" w:hAnsi="Times New Roman;Times;Serif"/>
          <w:sz w:val="20"/>
          <w:u w:val="single"/>
        </w:rPr>
        <w:t>Office of Foreign Assets Control</w:t>
      </w:r>
      <w:r>
        <w:rPr>
          <w:rFonts w:ascii="Times New Roman;Times;Serif" w:hAnsi="Times New Roman;Times;Serif"/>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sz w:val="20"/>
          <w:u w:val="single"/>
        </w:rPr>
        <w:t>OFAC</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(rr)               </w:t>
      </w:r>
      <w:r>
        <w:rPr>
          <w:rFonts w:ascii="Times New Roman;Times;Serif" w:hAnsi="Times New Roman;Times;Serif"/>
          <w:sz w:val="20"/>
          <w:u w:val="single"/>
        </w:rPr>
        <w:t>U.S. Real Property Holding Corporation</w:t>
      </w:r>
      <w:r>
        <w:rPr>
          <w:rFonts w:ascii="Times New Roman;Times;Serif" w:hAnsi="Times New Roman;Times;Serif"/>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(ss)              </w:t>
      </w:r>
      <w:r>
        <w:rPr>
          <w:rFonts w:ascii="Times New Roman;Times;Serif" w:hAnsi="Times New Roman;Times;Serif"/>
          <w:sz w:val="20"/>
          <w:u w:val="single"/>
        </w:rPr>
        <w:t>Bank Holding Company Act</w:t>
      </w:r>
      <w:r>
        <w:rPr>
          <w:rFonts w:ascii="Times New Roman;Times;Serif" w:hAnsi="Times New Roman;Times;Serif"/>
          <w:sz w:val="20"/>
        </w:rPr>
        <w:t>. Neither the Company nor any of its Subsidiaries or Affiliates is subject to the Bank Holding Company Act of 1956, as amended (the “</w:t>
      </w:r>
      <w:r>
        <w:rPr>
          <w:rFonts w:ascii="Times New Roman;Times;Serif" w:hAnsi="Times New Roman;Times;Serif"/>
          <w:sz w:val="20"/>
          <w:u w:val="single"/>
        </w:rPr>
        <w:t>BHCA</w:t>
      </w:r>
      <w:r>
        <w:rPr>
          <w:rFonts w:ascii="Times New Roman;Times;Serif" w:hAnsi="Times New Roman;Times;Serif"/>
          <w:sz w:val="20"/>
        </w:rPr>
        <w:t>”) and to regulation by the Board of Governors of the Federal Reserve System (the “</w:t>
      </w:r>
      <w:r>
        <w:rPr>
          <w:rFonts w:ascii="Times New Roman;Times;Serif" w:hAnsi="Times New Roman;Times;Serif"/>
          <w:sz w:val="20"/>
          <w:u w:val="single"/>
        </w:rPr>
        <w:t>Federal Reserve</w:t>
      </w: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E-20 </w:t>
      </w:r>
    </w:p>
    <w:p>
      <w:pPr>
        <w:pStyle w:val="TextBody"/>
        <w:bidi w:val="0"/>
        <w:spacing w:before="0" w:after="0"/>
        <w:ind w:left="0" w:right="0" w:hanging="0"/>
        <w:jc w:val="left"/>
        <w:rPr/>
      </w:pPr>
      <w:r>
        <w:rPr/>
        <w:t>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(tt)               </w:t>
      </w:r>
      <w:r>
        <w:rPr>
          <w:rFonts w:ascii="Times New Roman;Times;Serif" w:hAnsi="Times New Roman;Times;Serif"/>
          <w:sz w:val="20"/>
          <w:u w:val="single"/>
        </w:rPr>
        <w:t>Money Laundering</w:t>
      </w:r>
      <w:r>
        <w:rPr>
          <w:rFonts w:ascii="Times New Roman;Times;Serif" w:hAnsi="Times New Roman;Times;Serif"/>
          <w:sz w:val="20"/>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sz w:val="20"/>
          <w:u w:val="single"/>
        </w:rPr>
        <w:t>Money Laundering Laws</w:t>
      </w:r>
      <w:r>
        <w:rPr>
          <w:rFonts w:ascii="Times New Roman;Times;Serif" w:hAnsi="Times New Roman;Times;Serif"/>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(uu)            </w:t>
      </w:r>
      <w:r>
        <w:rPr>
          <w:rFonts w:ascii="Times New Roman;Times;Serif" w:hAnsi="Times New Roman;Times;Serif"/>
          <w:sz w:val="20"/>
          <w:u w:val="single"/>
        </w:rPr>
        <w:t>No Disqualification Events</w:t>
      </w:r>
      <w:r>
        <w:rPr>
          <w:rFonts w:ascii="Times New Roman;Times;Serif" w:hAnsi="Times New Roman;Times;Serif"/>
          <w:sz w:val="20"/>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Times;Serif" w:hAnsi="Times New Roman;Times;Serif"/>
          <w:sz w:val="20"/>
          <w:u w:val="single"/>
        </w:rPr>
        <w:t>Issuer Covered Person</w:t>
      </w:r>
      <w:r>
        <w:rPr>
          <w:rFonts w:ascii="Times New Roman;Times;Serif" w:hAnsi="Times New Roman;Times;Serif"/>
          <w:sz w:val="20"/>
        </w:rPr>
        <w:t>” and, together, “</w:t>
      </w:r>
      <w:r>
        <w:rPr>
          <w:rFonts w:ascii="Times New Roman;Times;Serif" w:hAnsi="Times New Roman;Times;Serif"/>
          <w:sz w:val="20"/>
          <w:u w:val="single"/>
        </w:rPr>
        <w:t>Issuer Covered Persons</w:t>
      </w:r>
      <w:r>
        <w:rPr>
          <w:rFonts w:ascii="Times New Roman;Times;Serif" w:hAnsi="Times New Roman;Times;Serif"/>
          <w:sz w:val="20"/>
        </w:rPr>
        <w:t>”) is subject to any of the “Bad Actor” disqualifications described in Rule 506(d)(1)(i) to (viii) under the Securities Act (a “</w:t>
      </w:r>
      <w:r>
        <w:rPr>
          <w:rFonts w:ascii="Times New Roman;Times;Serif" w:hAnsi="Times New Roman;Times;Serif"/>
          <w:sz w:val="20"/>
          <w:u w:val="single"/>
        </w:rPr>
        <w:t>Disqualification Event”</w:t>
      </w:r>
      <w:r>
        <w:rPr>
          <w:rFonts w:ascii="Times New Roman;Times;Serif" w:hAnsi="Times New Roman;Times;Serif"/>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(vv)            </w:t>
      </w:r>
      <w:r>
        <w:rPr>
          <w:rFonts w:ascii="Times New Roman;Times;Serif" w:hAnsi="Times New Roman;Times;Serif"/>
          <w:sz w:val="20"/>
          <w:u w:val="single"/>
        </w:rPr>
        <w:t>Other Covered Persons</w:t>
      </w:r>
      <w:r>
        <w:rPr>
          <w:rFonts w:ascii="Times New Roman;Times;Serif" w:hAnsi="Times New Roman;Times;Serif"/>
          <w:sz w:val="20"/>
        </w:rPr>
        <w:t>. Other than the Placement Agent,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(ww)           </w:t>
      </w:r>
      <w:r>
        <w:rPr>
          <w:rFonts w:ascii="Times New Roman;Times;Serif" w:hAnsi="Times New Roman;Times;Serif"/>
          <w:sz w:val="20"/>
          <w:u w:val="single"/>
        </w:rPr>
        <w:t>Notice of Disqualification Events</w:t>
      </w:r>
      <w:r>
        <w:rPr>
          <w:rFonts w:ascii="Times New Roman;Times;Serif" w:hAnsi="Times New Roman;Times;Serif"/>
          <w:sz w:val="20"/>
        </w:rPr>
        <w:t>. The Company will notify the Purchasers in writing, prior to the Closing Date of (i) any Disqualification Event relating to any Issuer Covered Person and (ii) any event that would, with the passage of time, become a Disqualification Event relating to any Issuer Covered Person.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3.2       </w:t>
      </w:r>
      <w:r>
        <w:rPr>
          <w:rFonts w:ascii="Times New Roman;Times;Serif" w:hAnsi="Times New Roman;Times;Serif"/>
          <w:sz w:val="20"/>
          <w:u w:val="single"/>
        </w:rPr>
        <w:t>Representations and Warranties of the Purchasers</w:t>
      </w:r>
      <w:r>
        <w:rPr>
          <w:rFonts w:ascii="Times New Roman;Times;Serif" w:hAnsi="Times New Roman;Times;Serif"/>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Organization; Authority</w:t>
      </w:r>
      <w:r>
        <w:rPr>
          <w:rFonts w:ascii="Times New Roman;Times;Serif" w:hAnsi="Times New Roman;Times;Serif"/>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E-21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Own Account</w:t>
      </w:r>
      <w:r>
        <w:rPr>
          <w:rFonts w:ascii="Times New Roman;Times;Serif" w:hAnsi="Times New Roman;Times;Serif"/>
          <w:sz w:val="20"/>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Purchaser Status</w:t>
      </w:r>
      <w:r>
        <w:rPr>
          <w:rFonts w:ascii="Times New Roman;Times;Serif" w:hAnsi="Times New Roman;Times;Serif"/>
          <w:sz w:val="20"/>
        </w:rPr>
        <w:t>. At the time such Purchaser was offered the Securities, it was, and as of the date hereof it is, and on each date on which it converts any shares of Preferred Stock or exercises any Warrants, it will be an “accredited investor” as defined in Rule 501(a)(1), (a)(2), (a)(3), (a)(7), (a)(8), (a)(9), (a)(12), or (a)(13) under the Securities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Experience of Such Purchaser</w:t>
      </w:r>
      <w:r>
        <w:rPr>
          <w:rFonts w:ascii="Times New Roman;Times;Serif" w:hAnsi="Times New Roman;Times;Serif"/>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General Solicitation</w:t>
      </w:r>
      <w:r>
        <w:rPr>
          <w:rFonts w:ascii="Times New Roman;Times;Serif" w:hAnsi="Times New Roman;Times;Serif"/>
          <w:sz w:val="20"/>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Access to Information</w:t>
      </w:r>
      <w:r>
        <w:rPr>
          <w:rFonts w:ascii="Times New Roman;Times;Serif" w:hAnsi="Times New Roman;Times;Serif"/>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E-22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(g)       </w:t>
      </w:r>
      <w:r>
        <w:rPr>
          <w:rFonts w:ascii="Times New Roman;Times;Serif" w:hAnsi="Times New Roman;Times;Serif"/>
          <w:sz w:val="20"/>
          <w:u w:val="single"/>
        </w:rPr>
        <w:t>Certain Transactions and Confidentiality</w:t>
      </w:r>
      <w:r>
        <w:rPr>
          <w:rFonts w:ascii="Times New Roman;Times;Serif" w:hAnsi="Times New Roman;Times;Serif"/>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against, or a prohibition of, preclude any actions, with respect to the locating or borrowing of, arrangement to borrow, identification of the availability of, and/or securing of, securities of the Company shares in order for such Purchaser (or its broker or other financial representative) to effect Short Sales or similar transactions in the future.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(h)       </w:t>
      </w:r>
      <w:r>
        <w:rPr>
          <w:rFonts w:ascii="Times New Roman;Times;Serif" w:hAnsi="Times New Roman;Times;Serif"/>
          <w:sz w:val="20"/>
          <w:u w:val="single"/>
        </w:rPr>
        <w:t>No Group; Independent Investment Decision</w:t>
      </w:r>
      <w:r>
        <w:rPr>
          <w:rFonts w:ascii="Times New Roman;Times;Serif" w:hAnsi="Times New Roman;Times;Serif"/>
          <w:sz w:val="20"/>
        </w:rPr>
        <w:t>. Such Purchaser represents and warrants, solely as to itself and not as to any other Purchaser, that such Purchaser has independently evaluated the merits and risks of its investment in the Securities and has independently made its own decision to enter into the Transaction Documents and purchase the Securities. Such Purchaser is not purchasing the Securities with any agreement, arrangement or understanding with any other Purchaser to acquire, hold, vote or dispose of any securities of the Company for the purpose of forming a “group” within the meaning of Section 13(d)(3) of the Exchange Act. For the avoidance of doubt, the foregoing shall not restrict communications with the Company, the Placement Agent, counsel or other advisors in connection with the negotiation, execution and consummation of the transactions contemplated by the Transaction Documents, nor shall the fact that the Purchasers are receiving substantially the same Transaction Documents, substantially the same economic terms or rights under the Transaction Documents, in and of itself, be deemed to constitute the Purchasers as a “group” within the meaning of Section 13(d)(3) of the Exchange Act.</w:t>
      </w:r>
    </w:p>
    <w:p>
      <w:pPr>
        <w:pStyle w:val="TextBody"/>
        <w:bidi w:val="0"/>
        <w:jc w:val="both"/>
        <w:rPr>
          <w:rFonts w:ascii="Times New Roman;Times;Serif" w:hAnsi="Times New Roman;Times;Serif"/>
          <w:sz w:val="20"/>
        </w:rPr>
      </w:pPr>
      <w:r>
        <w:rPr>
          <w:rFonts w:ascii="Times New Roman;Times;Serif" w:hAnsi="Times New Roman;Times;Serif"/>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E-23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ARTICLE IV.</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OTHER AGREEMENTS OF THE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4.1       </w:t>
      </w:r>
      <w:r>
        <w:rPr>
          <w:rFonts w:ascii="Times New Roman;Times;Serif" w:hAnsi="Times New Roman;Times;Serif"/>
          <w:sz w:val="20"/>
          <w:u w:val="single"/>
        </w:rPr>
        <w:t>Transfer Restrictions</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(b)                The Purchasers agree to the imprinting, so long as is required by this Section 4.1, of a legend on any of the Securities in the following form:</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[NEITHER] THIS SECURITY [NOR THE SECURITIES INTO WHICH THIS SECURITY IS CONVERTIBLE]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CONVERSION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E-24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(c)                Certificates evidencing the Underlying Shares and the Warrant Shares shall not contain any legend (including the legend set forth in Section 4.1(b) hereof): (i) while a registration statement (including the Registration Statement) covering the resale of such security is effective under the Securities Act, (ii) following any sale of such Underlying Shares or the Warrant Shares pursuant to Rule 144 (assuming cashless exercise of the Warrants), (iii) if such Underlying Shares or Warrant Shares are eligible for sale under Rule 144 (assuming cashless exercise of the Warrants), without the requirement for the Company to be in compliance with the current public information required under Rule 144 as to such Underlying Shares and Warrant Shares and without volume or manner-of-sale restrictions or (iv) if such legend is not required under applicable requirements of the Securities Act (including judicial interpretations and pronouncements issued by the staff of the Commission). The Company shall at its expense cause its counsel to issue a legal opinion to the Transfer Agent or the Purchaser promptly after the Effective Date if required by the Transfer Agent to effect the removal of the legend hereunder, or if requested by a Purchaser, respectively. If all or any shares of Preferred Stock are converted or if all or any portion of a Warrant is exercised at a time when there is an effective registration statement to cover the resale of the Underlying Shares or Warrant Shares, or if such Underlying Shares or Warrant Shares may be sold under Rule 144 and the Company is then in compliance with the current public information required under Rule 144 or such compliance is not required by Rule 144 (assuming cashless exercise of the Warrants), or if the Underlying Shares or Warrant Shares may be sold under Rule 144 without the requirement for the Company to be in compliance with the current public information required under Rule 144 as to such Underlying Shares or Warrant Shares and without volume or manner-of-sale restrictions or if such legend is not otherwise required under applicable requirements of the Securities Act (including judicial interpretations and pronouncements issued by the staff of the Commission) then such Underlying Shares or Warrant Shares shall be issued free of all legends. The Company agrees that following the Effective Date or at such time as such legend is no longer required under this Section 4.1(c), it will, no later than the earlier of (i) one (1) Trading Day and (ii) the number of Trading Days comprising the Standard Settlement Period (as defined below) following the delivery by a Purchaser to the Company or the Transfer Agent of a certificate representing Underlying Shares or Warrant Shares, as applicable, issued with a restrictive legend (such date, the “</w:t>
      </w:r>
      <w:r>
        <w:rPr>
          <w:rFonts w:ascii="Times New Roman;Times;Serif" w:hAnsi="Times New Roman;Times;Serif"/>
          <w:sz w:val="20"/>
          <w:u w:val="single"/>
        </w:rPr>
        <w:t>Legend Removal Date</w:t>
      </w:r>
      <w:r>
        <w:rPr>
          <w:rFonts w:ascii="Times New Roman;Times;Serif" w:hAnsi="Times New Roman;Times;Serif"/>
          <w:sz w:val="20"/>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Underlying Shares or Warrant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Times;Serif" w:hAnsi="Times New Roman;Times;Serif"/>
          <w:sz w:val="20"/>
          <w:u w:val="single"/>
        </w:rPr>
        <w:t>Standard Settlement Period</w:t>
      </w:r>
      <w:r>
        <w:rPr>
          <w:rFonts w:ascii="Times New Roman;Times;Serif" w:hAnsi="Times New Roman;Times;Serif"/>
          <w:sz w:val="20"/>
        </w:rPr>
        <w:t>” means the standard settlement period, expressed in a number of Trading Days, on the Company’s primary Trading Market with respect to the Common Stock as in effect on the date of delivery of a certificate representing Underlying Shares or Warrant Shares, as applicable, issued with a restrictive legend.</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(d)                In addition to such Purchaser’s other available remedies, the Company shall pay to a Purchaser, in cash, (i) as partial liquidated damages and not as a penalty, for each $1,000 of Underlying Shares or Warrant Shares (based on the VWAP of the Common Stock on the date such Securities are submitted to the Transfer Agent) delivered for removal of the restrictive legend and subject to Section 4.1(c),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Times;Serif" w:hAnsi="Times New Roman;Times;Serif"/>
          <w:b w:val="false"/>
          <w:sz w:val="20"/>
          <w:u w:val="single"/>
        </w:rPr>
        <w:t>Buy-In Price</w:t>
      </w:r>
      <w:r>
        <w:rPr>
          <w:rFonts w:ascii="Times New Roman;Times;Serif" w:hAnsi="Times New Roman;Times;Serif"/>
          <w:sz w:val="20"/>
        </w:rPr>
        <w:t>”) over the product of (x) such number of Underlying Shares or Warrant Shares that the Company was required to deliver to such Purchaser by the Legend Removal Date multiplied by (y) the lowest closing sale price of the Common Stock on any Trading Day during the period commencing on the date of the delivery by such Purchaser to the Company of the applicable Underlying Shares or Warrant Shares (as the case may be) and ending on the date of such delivery and payment under this clause (ii).</w:t>
        <w:tab/>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E-25 </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(e)                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 The Company acknowledges that if a Purchaser effects a cashless exercise of the Warrants, the holding period of the Underlying Shares issued as a result shall be the Closing Date on which the Warrants were issued. The Company agrees that it shall not take a position contrary to the preceding sentence.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4.2       </w:t>
      </w:r>
      <w:r>
        <w:rPr>
          <w:rFonts w:ascii="Times New Roman;Times;Serif" w:hAnsi="Times New Roman;Times;Serif"/>
          <w:sz w:val="20"/>
          <w:u w:val="single"/>
        </w:rPr>
        <w:t>Acknowledgment of Dilution</w:t>
      </w:r>
      <w:r>
        <w:rPr>
          <w:rFonts w:ascii="Times New Roman;Times;Serif" w:hAnsi="Times New Roman;Times;Serif"/>
          <w:sz w:val="20"/>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Underlying Shares pursuant to the Transaction Documents, are binding obligations of the Company, subject in all cases to the terms and conditions of the Transaction Documents, and, where applicable, to the Company’s receipt of Shareholder Approval, the effectiveness of any related amendment to the Company’s articles of incorporation, the filing and effectiveness of the Certificate of Designation, the availability of a sufficient number of authorized and unissued shares of Common Stock, the beneficial ownership limitations set forth in the Transaction Documents, any Issuable Maximum or similar limitation set forth in the Transaction Documents, the rules and regulations of the Trading Market, and applicable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4.3       </w:t>
      </w:r>
      <w:r>
        <w:rPr>
          <w:rFonts w:ascii="Times New Roman;Times;Serif" w:hAnsi="Times New Roman;Times;Serif"/>
          <w:sz w:val="20"/>
          <w:u w:val="single"/>
        </w:rPr>
        <w:t>Furnishing of Information; Public Information</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Until the earlier of the time that (i) no Purchaser owns Securities or (ii) the Warrants have expired, the Company covenants to maintain the registration of the Common Stock under Section 12(b) or 12(g) of the Exchange Act and to use commercially reasonable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(b)         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Times;Serif" w:hAnsi="Times New Roman;Times;Serif"/>
          <w:sz w:val="20"/>
          <w:u w:val="single"/>
        </w:rPr>
        <w:t>Public Information Failure</w:t>
      </w:r>
      <w:r>
        <w:rPr>
          <w:rFonts w:ascii="Times New Roman;Times;Serif" w:hAnsi="Times New Roman;Times;Serif"/>
          <w:sz w:val="20"/>
        </w:rPr>
        <w:t>”) and such Public Information Failure continues for three (3) Trading Days after written notice thereof from a Purchaser, then the Company shall pay to a Purchaser, in cash, as partial liquidated damages and not as a penalty, by reason of any such delay in or reduction of its ability to sell the Securities, an amount in cash equal to one percent (1.0%) of the aggregate Subscription Amount of such Purchaser’s Securities then held by such Purchaser on the day of a Public Information Failure and on every thirtieth (30</w:t>
      </w:r>
      <w:r>
        <w:rPr>
          <w:rFonts w:ascii="Times New Roman;Times;Serif" w:hAnsi="Times New Roman;Times;Serif"/>
          <w:position w:val="7"/>
          <w:sz w:val="16"/>
          <w:sz w:val="20"/>
        </w:rPr>
        <w:t>th</w:t>
      </w:r>
      <w:r>
        <w:rPr>
          <w:rFonts w:ascii="Times New Roman;Times;Serif" w:hAnsi="Times New Roman;Times;Serif"/>
          <w:sz w:val="20"/>
        </w:rPr>
        <w:t>) day (pro rated for periods totaling less than thirty days) thereafter until the earlier of (a) the date such Public Information Failure is cured and (b) such time that such public information is no longer required  for the Purchasers to transfer the Underlying Shares and Warrant Shares pursuant to Rule 144.  The payments to which a Purchaser shall be entitled pursuant to this Section 4.3(b) are referred to herein as “</w:t>
      </w:r>
      <w:r>
        <w:rPr>
          <w:rFonts w:ascii="Times New Roman;Times;Serif" w:hAnsi="Times New Roman;Times;Serif"/>
          <w:sz w:val="20"/>
          <w:u w:val="single"/>
        </w:rPr>
        <w:t>Public Information Failure Payments</w:t>
      </w:r>
      <w:r>
        <w:rPr>
          <w:rFonts w:ascii="Times New Roman;Times;Serif" w:hAnsi="Times New Roman;Times;Serif"/>
          <w:sz w:val="20"/>
        </w:rPr>
        <w:t>.”  Notwithstanding anything to the contrary herein or in any other Transaction Document, (x) the aggregate Public Information Failure Payments payable to any Purchaser under this Section 4.3(b), together with any liquidated damages, registration delay payments or similar amounts payable to such Purchaser under the Registration Rights Agreement with respect to the same or any overlapping period or underlying failure, shall not exceed five percent 5.0% of the aggregate Subscription Amount of such Purchaser’s Securities affected by such failure, (y) no Public Information Failure Payments shall accrue or be payable under this Section 4.3(b) for any period for which liquidated damages, registration delay payments or similar amounts are accruing or payable to such Purchaser under the Registration Rights Agreement with respect to the same or any overlapping period or underlying failure, and (z) in no event shall the Company be required to make duplicative payments under this Agreement and the Registration Rights Agreement with respect to the same or any overlapping period or underlying failure. Public Information Failure Payments shall be paid on the earlier of (i) the last day of the calendar month during which such Public Information Failure Payments are incurred and (ii) the third (3</w:t>
      </w:r>
      <w:r>
        <w:rPr>
          <w:rFonts w:ascii="Times New Roman;Times;Serif" w:hAnsi="Times New Roman;Times;Serif"/>
          <w:position w:val="7"/>
          <w:sz w:val="16"/>
          <w:sz w:val="20"/>
        </w:rPr>
        <w:t>rd</w:t>
      </w:r>
      <w:r>
        <w:rPr>
          <w:rFonts w:ascii="Times New Roman;Times;Serif" w:hAnsi="Times New Roman;Times;Serif"/>
          <w:sz w:val="20"/>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the lesser of one percent (1.0%) per month and the Maximum Rate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E-26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4.4       </w:t>
      </w:r>
      <w:r>
        <w:rPr>
          <w:rFonts w:ascii="Times New Roman;Times;Serif" w:hAnsi="Times New Roman;Times;Serif"/>
          <w:sz w:val="20"/>
          <w:u w:val="single"/>
        </w:rPr>
        <w:t>Integration</w:t>
      </w:r>
      <w:r>
        <w:rPr>
          <w:rFonts w:ascii="Times New Roman;Times;Serif" w:hAnsi="Times New Roman;Times;Serif"/>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4.5       </w:t>
      </w:r>
      <w:r>
        <w:rPr>
          <w:rFonts w:ascii="Times New Roman;Times;Serif" w:hAnsi="Times New Roman;Times;Serif"/>
          <w:sz w:val="20"/>
          <w:u w:val="single"/>
        </w:rPr>
        <w:t>Conversion and Exercise Procedures</w:t>
      </w:r>
      <w:r>
        <w:rPr>
          <w:rFonts w:ascii="Times New Roman;Times;Serif" w:hAnsi="Times New Roman;Times;Serif"/>
          <w:sz w:val="20"/>
        </w:rPr>
        <w:t>. The form of Notice of Conversion included in the Debenture, and upon conversion of the Debenture into Preferred Stock, the Certificate of Designation, sets forth the totality of the procedures required of the Purchasers in order to convert the Preferred Stock.</w:t>
      </w:r>
    </w:p>
    <w:p>
      <w:pPr>
        <w:pStyle w:val="TextBody"/>
        <w:bidi w:val="0"/>
        <w:spacing w:before="0" w:after="240"/>
        <w:jc w:val="both"/>
        <w:rPr>
          <w:rFonts w:ascii="Times New Roman;Times;Serif" w:hAnsi="Times New Roman;Times;Serif"/>
          <w:sz w:val="20"/>
        </w:rPr>
      </w:pPr>
      <w:r>
        <w:rPr>
          <w:rFonts w:ascii="Times New Roman;Times;Serif" w:hAnsi="Times New Roman;Times;Serif"/>
          <w:sz w:val="20"/>
        </w:rPr>
        <w:t>The form of Notice of Exercise included in the Warrant sets forth the totality of the procedures required of the Purchasers in order to exercise the Warrant. Without limiting the preceding sentences, no ink-original Notice of Conversion or Notice of Exercise, as applicable, shall be required, nor shall any medallion guarantee (or other type of guarantee or notarization) of any Notice of Conversion and Notice of Exercise, as applicable, form be required in order to convert the Debenture, the Preferred Stock or exercise the Warrant, as applicable. No additional legal opinion, other information or instructions shall be required of the Purchasers to convert their Debenture, Preferred Stock or exercise their Warrants. The Company shall honor conversions of the Debenture, the Preferred Stock or exercises of the Warrants and shall deliver Preferred Stock, Underlying Shares or Warrant Shares, as applicable, in accordance with the terms, conditions and time periods set forth in the Transaction Documents.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4.6       </w:t>
      </w:r>
      <w:r>
        <w:rPr>
          <w:rFonts w:ascii="Times New Roman;Times;Serif" w:hAnsi="Times New Roman;Times;Serif"/>
          <w:sz w:val="20"/>
          <w:u w:val="single"/>
        </w:rPr>
        <w:t>Securities Laws Disclosure; Publicity</w:t>
      </w:r>
      <w:r>
        <w:rPr>
          <w:rFonts w:ascii="Times New Roman;Times;Serif" w:hAnsi="Times New Roman;Times;Serif"/>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For the avoidance of doubt, the foregoing shall not terminate, waive or otherwise limit any confidentiality, non-disclosure, fiduciary, insider trading, information barrier, corporate policy or similar obligation applicable to any Purchaser or any of its Affiliates, representatives or related persons under any written agreement with the Company, applicable law, the Transaction Documents, any Company policy applicable to such Person, or any other duty or obligation applicable to such Person by virtue of such Person’s relationship with the Company. The Company understands and confirms that each Purchaser shall be relying on the foregoing covenant in effecting transactions in securities of the Company. The Company shall consult the Purchasers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4.7       </w:t>
      </w:r>
      <w:r>
        <w:rPr>
          <w:rFonts w:ascii="Times New Roman;Times;Serif" w:hAnsi="Times New Roman;Times;Serif"/>
          <w:sz w:val="20"/>
          <w:u w:val="single"/>
        </w:rPr>
        <w:t>Shareholder Rights Plan</w:t>
      </w:r>
      <w:r>
        <w:rPr>
          <w:rFonts w:ascii="Times New Roman;Times;Serif" w:hAnsi="Times New Roman;Times;Serif"/>
          <w:sz w:val="20"/>
        </w:rPr>
        <w:t>. No claim will be made or enforced by the Company or, with the consent of the Company, any other Person, that any Purchaser is an “</w:t>
      </w:r>
      <w:r>
        <w:rPr>
          <w:rFonts w:ascii="Times New Roman;Times;Serif" w:hAnsi="Times New Roman;Times;Serif"/>
          <w:sz w:val="20"/>
          <w:u w:val="single"/>
        </w:rPr>
        <w:t>Acquiring Person</w:t>
      </w:r>
      <w:r>
        <w:rPr>
          <w:rFonts w:ascii="Times New Roman;Times;Serif" w:hAnsi="Times New Roman;Times;Serif"/>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E-27 </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4.8        </w:t>
      </w:r>
      <w:r>
        <w:rPr>
          <w:rFonts w:ascii="Times New Roman;Times;Serif" w:hAnsi="Times New Roman;Times;Serif"/>
          <w:sz w:val="20"/>
          <w:u w:val="single"/>
        </w:rPr>
        <w:t>Non-Public Information</w:t>
      </w:r>
      <w:r>
        <w:rPr>
          <w:rFonts w:ascii="Times New Roman;Times;Serif" w:hAnsi="Times New Roman;Times;Serif"/>
          <w:sz w:val="20"/>
        </w:rPr>
        <w:t>. Except with respect to the material terms and conditions of the transactions contemplated by the Transaction Documents, which shall be disclosed pursuant to Section 4.6,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and to comply with applicable securities laws and any applicable trading restrictions with respect thereto. The Company understands and confirms that each Purchaser shall be relying on the foregoing covenant in effecting transactions in securities of the Company. No provision of this Agreement or any other Transaction Document shall be deemed to authorize any Purchaser or any of its Affiliates, representatives or related persons to trade in securities of the Company while in possession of material non-public information or to limit any confidentiality, non-disclosure, fiduciary, insider trading, information barrier, corporate policy or similar obligation applicable to such Person under any written agreement with the Company, applicable law, the Transaction Documents, any Company policy applicable to such Person, or any other duty or obligation applicable to such Person by virtue of such Person’s relationship with the Company.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to the extent required by applicable law and Regulation FD. The Company understands and confirms that each Purchaser shall be relying on the foregoing covenant in effecting transactions in securities of the Company.</w:t>
      </w:r>
    </w:p>
    <w:p>
      <w:pPr>
        <w:pStyle w:val="TextBody"/>
        <w:bidi w:val="0"/>
        <w:spacing w:before="0" w:after="283"/>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4.9       </w:t>
      </w:r>
      <w:r>
        <w:rPr>
          <w:rFonts w:ascii="Times New Roman;Times;Serif" w:hAnsi="Times New Roman;Times;Serif"/>
          <w:sz w:val="20"/>
          <w:u w:val="single"/>
        </w:rPr>
        <w:t>Use of Proceeds</w:t>
      </w:r>
      <w:r>
        <w:rPr>
          <w:rFonts w:ascii="Times New Roman;Times;Serif" w:hAnsi="Times New Roman;Times;Serif"/>
          <w:sz w:val="20"/>
        </w:rPr>
        <w:t>. The Company shall use the net proceeds from the sale of the Securities hereunder for general corporate purposes (which may include acquisitions, in the Company’s discretion), including working capital. The Company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4.10       </w:t>
      </w:r>
      <w:r>
        <w:rPr>
          <w:rFonts w:ascii="Times New Roman;Times;Serif" w:hAnsi="Times New Roman;Times;Serif"/>
          <w:sz w:val="20"/>
          <w:u w:val="single"/>
        </w:rPr>
        <w:t>Indemnification of Purchasers</w:t>
      </w:r>
      <w:r>
        <w:rPr>
          <w:rFonts w:ascii="Times New Roman;Times;Serif" w:hAnsi="Times New Roman;Times;Serif"/>
          <w:sz w:val="20"/>
        </w:rPr>
        <w:t>. Subject to the provisions of this Section 4.10,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sz w:val="20"/>
          <w:u w:val="single"/>
        </w:rPr>
        <w:t>Purchaser Party</w:t>
      </w:r>
      <w:r>
        <w:rPr>
          <w:rFonts w:ascii="Times New Roman;Times;Serif" w:hAnsi="Times New Roman;Times;Serif"/>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4.10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E-28 </w:t>
      </w:r>
    </w:p>
    <w:p>
      <w:pPr>
        <w:pStyle w:val="TextBody"/>
        <w:bidi w:val="0"/>
        <w:spacing w:before="0" w:after="0"/>
        <w:ind w:left="0" w:right="0" w:hanging="0"/>
        <w:jc w:val="left"/>
        <w:rPr/>
      </w:pPr>
      <w:r>
        <w:rPr/>
        <w:t>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4.11       </w:t>
      </w:r>
      <w:r>
        <w:rPr>
          <w:rFonts w:ascii="Times New Roman;Times;Serif" w:hAnsi="Times New Roman;Times;Serif"/>
          <w:sz w:val="20"/>
          <w:u w:val="single"/>
        </w:rPr>
        <w:t>Reservation and Listing of Securities</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The Company shall reserve and maintain reserved from its duly authorized shares of Common Stock the maximum number of shares of Common Stock currently available for issuance pursuant to the Transaction Documents and, from and after the date on which the Company has sufficient authorized and unissued shares of Common Stock available therefor, including following receipt of the Shareholder Approval and the effectiveness of any related amendment to the Company’s articles of incorporation, shall reserve and maintain reserved the Required Minimum for issuance pursuant to the Transaction Documents. If at any time the Company does not have a sufficient number of authorized and unissued shares of Common Stock available to reserve the Required Minimum, the Company shall use commercially reasonable efforts to obtain the Shareholder Approval and take such other corporate action as necessary to increase its authorized shares of Common Stock or otherwise make a sufficient number of shares of Common Stock available for issuance pursuant to the Transaction Documents.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(b)               If, on any date, the number of authorized but unissued (and otherwise unreserved) shares of Common Stock is less than 100% of (i) the Required Minimum on such date, minus (ii) the number of shares of Common Stock previously issued pursuant to the Transaction Documents, then the Board of Directors shall use commercially reasonable efforts to take all corporate action reasonably necessary to seek the Shareholder Approval and, following receipt of the Shareholder Approval, to cause the Company’s articles of incorporation to be amended to increase the number of authorized shares of Common Stock to an amount sufficient to permit the Company to reserve the Required Minimum at such time, minus the number of shares of Common Stock previously issued pursuant to the Transaction Documents, in each case as soon as reasonably practicable; provided, however, that if Shareholder Approval is required for any such amendment, the Company shall not be required to effect such amendment unless and until the Shareholder Approval has been obtained and deemed effective under applicable law, provided that the Company will not be required at any time to authorize a number of shares of Common Stock greater than the maximum remaining number of shares of Common Stock that could possibly be issued after such time pursuant to the Transaction Documents.</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(c)               The Company shall, if applicable: (i) in the time and manner required by the principal Trading Market, prepare and file with such Trading Market an additional shares listing application covering a number of shares of Common Stock at least equal to the Required Minimum on the date of such application, (ii) take all steps necessary to cause such shares of Common Stock to be approved for listing or quotation on such Trading Market as soon as possible thereafter, (iii) provide to the Purchasers evidence of such listing or quotation and (iv) maintain the listing or quotation of such Common Stock on any date at least equal to the Required Minimum on such date on such Trading Market or another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In addition, the Company shall hold a special meeting of shareholders, which may also be at the annual meeting of shareholders) at the earliest practical date for the purpose of obtaining Shareholder Approval, with the recommendation of the Board of Directors that such proposal be approved, and the Company shall solicit proxies from its shareholders in connection therewith in the same manner as all other management proposals in such proxy statement, and the management-appointed proxyholders shall vote all proxies received in accordance with the instructions of the applicable shareholders and, to the extent permitted by applicable law and the applicable proxy materials, shall vote uninstructed proxies in favor of such proposal. The Company shall use its reasonable best efforts to obtain such Shareholder Approval. If the Company does not obtain Shareholder Approval at the first meeting, the Company shall call a meeting every four months thereafter to seek Shareholder Approval until the Shareholder Approval is obtained.</w:t>
      </w:r>
    </w:p>
    <w:p>
      <w:pPr>
        <w:pStyle w:val="TextBody"/>
        <w:bidi w:val="0"/>
        <w:spacing w:before="0" w:after="283"/>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4.12       </w:t>
      </w:r>
      <w:r>
        <w:rPr>
          <w:rFonts w:ascii="Times New Roman;Times;Serif" w:hAnsi="Times New Roman;Times;Serif"/>
          <w:sz w:val="20"/>
          <w:u w:val="single"/>
        </w:rPr>
        <w:t>Participation in Future Financing</w:t>
      </w:r>
      <w:r>
        <w:rPr>
          <w:rFonts w:ascii="Times New Roman;Times;Serif" w:hAnsi="Times New Roman;Times;Serif"/>
          <w:sz w:val="20"/>
        </w:rPr>
        <w:t>.</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From the date hereof until the date that is the twelve (12)-month anniversary of the later of the Effective Date or the date of Shareholder Approval, upon any issuance by the Company or any of its Subsidiaries of Common Stock or Common Stock Equivalents for cash consideration, Indebtedness or a combination of units thereof (a “</w:t>
      </w:r>
      <w:r>
        <w:rPr>
          <w:rFonts w:ascii="Times New Roman;Times;Serif" w:hAnsi="Times New Roman;Times;Serif"/>
          <w:sz w:val="20"/>
          <w:u w:val="single"/>
        </w:rPr>
        <w:t>Subsequent Financing</w:t>
      </w:r>
      <w:r>
        <w:rPr>
          <w:rFonts w:ascii="Times New Roman;Times;Serif" w:hAnsi="Times New Roman;Times;Serif"/>
          <w:sz w:val="20"/>
        </w:rPr>
        <w:t>”), each Purchaser shall have the right to participate in up to an amount of the Subsequent Financing equal to 33% of the Subsequent Financing (the “</w:t>
      </w:r>
      <w:r>
        <w:rPr>
          <w:rFonts w:ascii="Times New Roman;Times;Serif" w:hAnsi="Times New Roman;Times;Serif"/>
          <w:sz w:val="20"/>
          <w:u w:val="single"/>
        </w:rPr>
        <w:t>Participation Maximum</w:t>
      </w:r>
      <w:r>
        <w:rPr>
          <w:rFonts w:ascii="Times New Roman;Times;Serif" w:hAnsi="Times New Roman;Times;Serif"/>
          <w:sz w:val="20"/>
        </w:rPr>
        <w:t>”) on the same terms, conditions and price provided for in the Subsequent Financing.</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(b)                At least five (5) Trading Days prior to the closing of the Subsequent Financing, the Company shall deliver to each Purchaser a written notice of its intention to effect a Subsequent Financing (“</w:t>
      </w:r>
      <w:r>
        <w:rPr>
          <w:rFonts w:ascii="Times New Roman;Times;Serif" w:hAnsi="Times New Roman;Times;Serif"/>
          <w:sz w:val="20"/>
          <w:u w:val="single"/>
        </w:rPr>
        <w:t>Pre-Notice</w:t>
      </w:r>
      <w:r>
        <w:rPr>
          <w:rFonts w:ascii="Times New Roman;Times;Serif" w:hAnsi="Times New Roman;Times;Serif"/>
          <w:sz w:val="20"/>
        </w:rPr>
        <w:t>”), which Pre-Notice shall ask such Purchaser if it wants to review the details of such financing (such additional notice, a “</w:t>
      </w:r>
      <w:r>
        <w:rPr>
          <w:rFonts w:ascii="Times New Roman;Times;Serif" w:hAnsi="Times New Roman;Times;Serif"/>
          <w:sz w:val="20"/>
          <w:u w:val="single"/>
        </w:rPr>
        <w:t>Subsequent Financing Notice</w:t>
      </w:r>
      <w:r>
        <w:rPr>
          <w:rFonts w:ascii="Times New Roman;Times;Serif" w:hAnsi="Times New Roman;Times;Serif"/>
          <w:sz w:val="20"/>
        </w:rPr>
        <w:t>”). Upon the request of a Purchaser, and only upon a request by such Purchaser, for a Subsequent Financing Notice, the Company shall promptly, but no later than one (1) Trading Day after such request, deliver a Subsequent Financing Notice to such Purchaser. The Subsequent Financing Notice shall describe in reasonable detail the proposed terms of such Subsequent Financing, the amount of proceeds intended to be raised thereunder and the Person or Persons through or with whom such Subsequent Financing is proposed to be effected and shall include a term sheet or similar document relating thereto as an attachment.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(c)                Any Purchaser desiring to participate in such Subsequent Financing must provide written notice to the Company by not later than 5:30 p.m. (New York City time) on the fifth (5</w:t>
      </w:r>
      <w:r>
        <w:rPr>
          <w:rFonts w:ascii="Times New Roman;Times;Serif" w:hAnsi="Times New Roman;Times;Serif"/>
          <w:position w:val="7"/>
          <w:sz w:val="16"/>
          <w:sz w:val="20"/>
        </w:rPr>
        <w:t>th</w:t>
      </w:r>
      <w:r>
        <w:rPr>
          <w:rFonts w:ascii="Times New Roman;Times;Serif" w:hAnsi="Times New Roman;Times;Serif"/>
          <w:sz w:val="20"/>
        </w:rPr>
        <w:t>) Trading Day after all of the Purchasers have received the Pre-Notice that such Purchaser is willing to participate in the Subsequent Financing, the amount of such Purchaser’s participation, and representing and warranting that such Purchaser has such funds ready, willing, and available for investment on the terms set forth in the Subsequent Financing Notice. If the Company receives no such notice from a Purchaser as of such fifth (5</w:t>
      </w:r>
      <w:r>
        <w:rPr>
          <w:rFonts w:ascii="Times New Roman;Times;Serif" w:hAnsi="Times New Roman;Times;Serif"/>
          <w:position w:val="7"/>
          <w:sz w:val="16"/>
          <w:sz w:val="20"/>
        </w:rPr>
        <w:t>th</w:t>
      </w:r>
      <w:r>
        <w:rPr>
          <w:rFonts w:ascii="Times New Roman;Times;Serif" w:hAnsi="Times New Roman;Times;Serif"/>
          <w:sz w:val="20"/>
        </w:rPr>
        <w:t>) Trading Day, such Purchaser shall be deemed to have notified the Company that it does not elect to participate.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E-29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(d)                If by 5:30 p.m. (New York City time) on the fifth (5</w:t>
      </w:r>
      <w:r>
        <w:rPr>
          <w:rFonts w:ascii="Times New Roman;Times;Serif" w:hAnsi="Times New Roman;Times;Serif"/>
          <w:position w:val="7"/>
          <w:sz w:val="16"/>
          <w:sz w:val="20"/>
        </w:rPr>
        <w:t>th</w:t>
      </w:r>
      <w:r>
        <w:rPr>
          <w:rFonts w:ascii="Times New Roman;Times;Serif" w:hAnsi="Times New Roman;Times;Serif"/>
          <w:sz w:val="20"/>
        </w:rPr>
        <w:t>) Trading Day after all of the Purchasers have received the Pre-Notice, notifications by the Purchasers of their willingness to participate in the Subsequent Financing (or to cause their designees to participate) is, in the aggregate, less than the total amount of the Subsequent Financing, then the Company may effect the remaining portion of such Subsequent Financing on the terms and with the Persons set forth in the Subsequent Financing Notice.</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If by 5:30 p.m. (New York City time) on the fifth (5</w:t>
      </w:r>
      <w:r>
        <w:rPr>
          <w:rFonts w:ascii="Times New Roman;Times;Serif" w:hAnsi="Times New Roman;Times;Serif"/>
          <w:position w:val="7"/>
          <w:sz w:val="16"/>
          <w:sz w:val="20"/>
        </w:rPr>
        <w:t>th</w:t>
      </w:r>
      <w:r>
        <w:rPr>
          <w:rFonts w:ascii="Times New Roman;Times;Serif" w:hAnsi="Times New Roman;Times;Serif"/>
          <w:sz w:val="20"/>
        </w:rPr>
        <w:t>) Trading Day after all of the Purchasers have received the Pre-Notice, the Company receives responses to a Subsequent Financing Notice from Purchasers seeking to purchase more than the aggregate amount of the Participation Maximum, each such Purchaser shall have the right to purchase its Pro Rata Portion (as defined below) of the Participation Maximum. “</w:t>
      </w:r>
      <w:r>
        <w:rPr>
          <w:rFonts w:ascii="Times New Roman;Times;Serif" w:hAnsi="Times New Roman;Times;Serif"/>
          <w:sz w:val="20"/>
          <w:u w:val="single"/>
        </w:rPr>
        <w:t>Pro Rata Portion</w:t>
      </w:r>
      <w:r>
        <w:rPr>
          <w:rFonts w:ascii="Times New Roman;Times;Serif" w:hAnsi="Times New Roman;Times;Serif"/>
          <w:sz w:val="20"/>
        </w:rPr>
        <w:t>” means the ratio of (x) the Subscription Amount of Securities purchased on the Closing Date by a Purchaser participating under this Section 4.12 and (y) the sum of the aggregate Subscription Amounts of Securities purchased on the Closing Date by all Purchasers participating under this Section 4.12.</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(f)                 The Company must provide the Purchasers with a second Subsequent Financing Notice, and the Purchasers will again have the right of participation set forth above in this Section 4.12, if the Subsequent Financing subject to the initial Subsequent Financing Notice is not consummated for any reason on the terms set forth in such Subsequent Financing Notice within thirty (30) Trading Days after the date of the initial Subsequent Financing Notice.</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(g)                The Company and each Purchaser agree that if any Purchaser elects to participate in the Subsequent Financing, the transaction documents related to the Subsequent Financing shall not include any term or provision that, directly or indirectly, will, or is intended to, exclude one or more of the Purchasers from participating in a Subsequent Financing, including, but not limited to, provisions whereby such Purchaser shall be required to agree to any restrictions on trading as to any securities of the Company or be required to consent to any amendment to or termination of, or grant any waiver, release or the like under or in connection with, this Agreement, without the prior written consent of such Purchaser.</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(h)                Notwithstanding anything to the contrary in this Section 4.12 and unless otherwise agreed to by such Purchaser, the Company shall either confirm in writing to such Purchaser that the transaction with respect to the Subsequent Financing has been abandoned or shall publicly disclose its intention to issue the securities in the Subsequent Financing, in either case in such a manner such that such Purchaser will not be in possession of any material, non-public information, by the tenth (10th) Business Day following delivery of the Subsequent Financing Notice. If by such tenth (10th) Business Day, no public disclosure regarding a transaction with respect to the Subsequent Financing has been made, and no notice regarding the abandonment of such transaction has been received by such Purchaser, such transaction shall be deemed to have been abandoned and such Purchaser shall not be deemed to be in possession of any material, non-public information with respect to the Company or any of its Subsidiaries. </w:t>
      </w:r>
    </w:p>
    <w:p>
      <w:pPr>
        <w:pStyle w:val="TextBody"/>
        <w:bidi w:val="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E-30 </w:t>
      </w:r>
    </w:p>
    <w:p>
      <w:pPr>
        <w:pStyle w:val="TextBody"/>
        <w:bidi w:val="0"/>
        <w:spacing w:before="0" w:after="0"/>
        <w:ind w:left="0" w:right="0" w:hanging="0"/>
        <w:jc w:val="left"/>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(i)                 Notwithstanding the foregoing, this Section 4.12 shall not apply in respect of an Exempt Issuance.</w:t>
        <w:tab/>
      </w:r>
    </w:p>
    <w:p>
      <w:pPr>
        <w:pStyle w:val="TextBody"/>
        <w:bidi w:val="0"/>
        <w:ind w:left="720" w:right="0" w:hanging="0"/>
        <w:jc w:val="both"/>
        <w:rPr/>
      </w:pPr>
      <w:r>
        <w:rPr/>
        <w:t> </w:t>
      </w:r>
    </w:p>
    <w:p>
      <w:pPr>
        <w:pStyle w:val="TextBody"/>
        <w:bidi w:val="0"/>
        <w:ind w:left="0" w:right="0" w:firstLine="630"/>
        <w:jc w:val="both"/>
        <w:rPr>
          <w:rFonts w:ascii="Times New Roman;Times;Serif" w:hAnsi="Times New Roman;Times;Serif"/>
          <w:sz w:val="20"/>
        </w:rPr>
      </w:pPr>
      <w:r>
        <w:rPr>
          <w:rFonts w:ascii="Times New Roman;Times;Serif" w:hAnsi="Times New Roman;Times;Serif"/>
          <w:sz w:val="20"/>
        </w:rPr>
        <w:t>4.13       </w:t>
      </w:r>
      <w:r>
        <w:rPr>
          <w:rFonts w:ascii="Times New Roman;Times;Serif" w:hAnsi="Times New Roman;Times;Serif"/>
          <w:sz w:val="20"/>
          <w:u w:val="single"/>
        </w:rPr>
        <w:t>Subsequent Equity Sales</w:t>
      </w:r>
      <w:r>
        <w:rPr>
          <w:rFonts w:ascii="Times New Roman;Times;Serif" w:hAnsi="Times New Roman;Times;Serif"/>
          <w:sz w:val="20"/>
        </w:rPr>
        <w:t>. From the date hereof until the later of the Effective Date and Shareholder Approval, the Company shall be prohibited from effecting or entering into an agreement to effect any issuance by the Company or any of its Subsidiaries of Common Stock or Common Stock Equivalents (or a combination of units thereof) involving a Variable Rate Transaction, other than in connection with an Exempt Issuance. “</w:t>
      </w:r>
      <w:r>
        <w:rPr>
          <w:rFonts w:ascii="Times New Roman;Times;Serif" w:hAnsi="Times New Roman;Times;Serif"/>
          <w:sz w:val="20"/>
          <w:u w:val="single"/>
        </w:rPr>
        <w:t>Variable Rate Transaction</w:t>
      </w:r>
      <w:r>
        <w:rPr>
          <w:rFonts w:ascii="Times New Roman;Times;Serif" w:hAnsi="Times New Roman;Times;Serif"/>
          <w:sz w:val="20"/>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Any Purchaser shall be entitled to obtain injunctive relief against the Company to preclude any such issuance, which remedy shall be in addition to any right to collect damages;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Purchaser shall be entitled to obtain injunctive relief or any other remedy with respect to any Exempt Issuance or any transaction, facility or arrangement expressly permitted by this Section 4.13. Notwithstanding the foregoing, this Section 4.13 shall not apply in respect of an Exempt Issuance, except that no Variable Rate Transaction shall be an Exempt Issuance.</w:t>
      </w:r>
    </w:p>
    <w:p>
      <w:pPr>
        <w:pStyle w:val="TextBody"/>
        <w:bidi w:val="0"/>
        <w:ind w:left="0" w:right="0" w:firstLine="720"/>
        <w:jc w:val="both"/>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4.14           </w:t>
      </w:r>
      <w:r>
        <w:rPr>
          <w:rFonts w:ascii="Times New Roman;Times;Serif" w:hAnsi="Times New Roman;Times;Serif"/>
          <w:sz w:val="20"/>
          <w:u w:val="single"/>
        </w:rPr>
        <w:t>Equal Treatment of Purchasers</w:t>
      </w:r>
      <w:r>
        <w:rPr>
          <w:rFonts w:ascii="Times New Roman;Times;Serif" w:hAnsi="Times New Roman;Times;Serif"/>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4.15           </w:t>
      </w:r>
      <w:r>
        <w:rPr>
          <w:rFonts w:ascii="Times New Roman;Times;Serif" w:hAnsi="Times New Roman;Times;Serif"/>
          <w:sz w:val="20"/>
          <w:u w:val="single"/>
        </w:rPr>
        <w:t>Certain Transactions and Confidentiality</w:t>
      </w:r>
      <w:r>
        <w:rPr>
          <w:rFonts w:ascii="Times New Roman;Times;Serif" w:hAnsi="Times New Roman;Times;Serif"/>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4.6.  Each Purchaser, severally and not jointly with the other Purchasers, covenants that until such time as the transactions contemplated by this Agreement are publicly disclosed by the Company pursuant to the initial press release as described in Section 4.6,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4.6,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4.6 and (iii) no Purchaser shall have any duty of confidentiality or duty not to trade in the securities of the Company to the Company, any of its Subsidiaries, or any of their respective officers, directors, employees, Affiliates or agent, after the issuance of the initial press release as described in Section 4.6.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E-31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4.16           </w:t>
      </w:r>
      <w:r>
        <w:rPr>
          <w:rFonts w:ascii="Times New Roman;Times;Serif" w:hAnsi="Times New Roman;Times;Serif"/>
          <w:sz w:val="20"/>
          <w:u w:val="single"/>
        </w:rPr>
        <w:t>Form D; Blue Sky Filings</w:t>
      </w:r>
      <w:r>
        <w:rPr>
          <w:rFonts w:ascii="Times New Roman;Times;Serif" w:hAnsi="Times New Roman;Times;Serif"/>
          <w:sz w:val="20"/>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4.17           </w:t>
      </w:r>
      <w:r>
        <w:rPr>
          <w:rFonts w:ascii="Times New Roman;Times;Serif" w:hAnsi="Times New Roman;Times;Serif"/>
          <w:sz w:val="20"/>
          <w:u w:val="single"/>
        </w:rPr>
        <w:t>Additional Investment Right</w:t>
      </w:r>
      <w:r>
        <w:rPr>
          <w:rFonts w:ascii="Times New Roman;Times;Serif" w:hAnsi="Times New Roman;Times;Serif"/>
          <w:sz w:val="20"/>
        </w:rPr>
        <w:t>. Subject to the Company’s receipt of Shareholder Approval, during the period ending eighteen (18) months following the Effective Date, each Purchaser, pro rata based on such Purchaser’s initial Subscription Amount relative to the aggregate initial Subscription Amounts of all Purchasers, shall have the right (the “</w:t>
      </w:r>
      <w:r>
        <w:rPr>
          <w:rFonts w:ascii="Times New Roman;Times;Serif" w:hAnsi="Times New Roman;Times;Serif"/>
          <w:sz w:val="20"/>
          <w:u w:val="single"/>
        </w:rPr>
        <w:t>Additional Investment Right</w:t>
      </w:r>
      <w:r>
        <w:rPr>
          <w:rFonts w:ascii="Times New Roman;Times;Serif" w:hAnsi="Times New Roman;Times;Serif"/>
          <w:sz w:val="20"/>
        </w:rPr>
        <w:t>”), but not the obligation, upon notice to the Company from time to time during such period, to purchase up to its pro rata portion of an aggregate of $91,000,000 of additional shares of Preferred Stock, representing 91,000 additional shares of Preferred Stock, or such lesser amount as may be available under the Company’s then-effective authorized preferred stock capitalization and applicable Trading Market rules, at a purchase price per share equal to the Stated Value (any such shares, the “</w:t>
      </w:r>
      <w:r>
        <w:rPr>
          <w:rFonts w:ascii="Times New Roman;Times;Serif" w:hAnsi="Times New Roman;Times;Serif"/>
          <w:sz w:val="20"/>
          <w:u w:val="single"/>
        </w:rPr>
        <w:t>Additional Shares</w:t>
      </w:r>
      <w:r>
        <w:rPr>
          <w:rFonts w:ascii="Times New Roman;Times;Serif" w:hAnsi="Times New Roman;Times;Serif"/>
          <w:sz w:val="20"/>
        </w:rPr>
        <w:t>”).  The initial Conversion Price of the first $10,000,000 in the aggregate of the Additional Shares purchased by all Purchasers hereunder shall be equal to 150% of the Conversion Price of the Conversion Shares and, thereafter, the Additional Shares issuable pursuant to all subsequent exercises of the Additional Investment Right shall have an initial Conversion Price equal to the lower of (x) the Conversion Price of the Conversion Shares, and (y) 90% of the arithmetic average of the three (3) lowest VWAPs during the five (5) Trading Days prior to the date of such Purchaser’s exercise of the Additional Investment Right, provided that the Conversion Price of the Additional Shares shall not be less than the Floor Price. The required deliverables for the closing of each purchase pursuant to the Additional Investment Right shall be the same deliverables set forth in Section 2.2(a)(viii), (ix), (x) and (xii) hereof, and the closing conditions for each purchase pursuant to the Additional Investment Right shall be the same as the conditions set forth in Section 2.3 hereof, as applicable to such additional purchase (the date of any such closing, an “</w:t>
      </w:r>
      <w:r>
        <w:rPr>
          <w:rFonts w:ascii="Times New Roman;Times;Serif" w:hAnsi="Times New Roman;Times;Serif"/>
          <w:sz w:val="20"/>
          <w:u w:val="single"/>
        </w:rPr>
        <w:t>Additional Closing Date</w:t>
      </w:r>
      <w:r>
        <w:rPr>
          <w:rFonts w:ascii="Times New Roman;Times;Serif" w:hAnsi="Times New Roman;Times;Serif"/>
          <w:sz w:val="20"/>
        </w:rPr>
        <w:t xml:space="preserve">”). The Additional Investment Right must be exercised with respect to a minimum of $1,000,000 by each participating Purchaser at each Additional Closing.  No Warrants shall be issuable in connection with any exercise of the Additional Investment Right.  For the avoidance of doubt, on each Additional Closing Date, the Company shall file a new certificate of designation setting forth the terms of the Preferred Stock to be issued as Additional Shares at such Closing, the terms of which shall be substantially similar to the Certificate of Designation, except that (i) it shall reflect the Conversion Price for such Preferred Stock calculated as required hereunder and (ii) the provisions set forth in the last two sentences of Section 7(b) of the Certificate of Designation relating to the conversion of shares of Preferred Stock at the “Applicable Conversion Price” shall not apply to any of the Additional Shares, and such language shall not be included in the applicable certificate of designation for any such Additional Shares.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4.18        </w:t>
      </w:r>
      <w:r>
        <w:rPr>
          <w:rFonts w:ascii="Times New Roman;Times;Serif" w:hAnsi="Times New Roman;Times;Serif"/>
          <w:sz w:val="20"/>
          <w:u w:val="single"/>
        </w:rPr>
        <w:t>Exercise Procedures</w:t>
      </w:r>
      <w:r>
        <w:rPr>
          <w:rFonts w:ascii="Times New Roman;Times;Serif" w:hAnsi="Times New Roman;Times;Serif"/>
          <w:sz w:val="20"/>
        </w:rPr>
        <w:t>. The form of Notice of Exercise included in the Warrants and the Notice of Conversion included in the Certificate of Designation set forth the totality of the procedures required of the Purchasers in order to convert the Preferred Stock or exercise the Warrants. No additional legal opinion, other information or instructions shall be required of the Purchasers to convert their Preferred Stock or exercise their Warrants. Without limiting the preceding sentences, no ink-original Notice of Conversion or Notice of Exercise shall be required, nor shall any medallion guarantee (or other type of guarantee or notarization) of any Notice of Conversion or Notice of Exercise form be required in order to convert the Preferred Stock or exercise the Warrants. The Company shall honor conversions of the Preferred Stock and exercises of the Warrants and shall deliver Underlying Shares or Warrant Shares in accordance with the terms, conditions and time periods set forth in the Transaction Documents.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E-32 </w:t>
      </w:r>
    </w:p>
    <w:p>
      <w:pPr>
        <w:pStyle w:val="TextBody"/>
        <w:bidi w:val="0"/>
        <w:spacing w:before="0" w:after="0"/>
        <w:ind w:left="0" w:right="0" w:hanging="0"/>
        <w:jc w:val="left"/>
        <w:rPr/>
      </w:pPr>
      <w:r>
        <w:rPr/>
        <w:t> </w:t>
      </w:r>
    </w:p>
    <w:p>
      <w:pPr>
        <w:pStyle w:val="TextBody"/>
        <w:bidi w:val="0"/>
        <w:ind w:left="0" w:right="0" w:firstLine="720"/>
        <w:jc w:val="both"/>
        <w:rPr/>
      </w:pPr>
      <w:r>
        <w:rPr/>
        <w:t> </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ARTICLE V.</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MISCELLANEOUS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5.1       </w:t>
      </w:r>
      <w:r>
        <w:rPr>
          <w:rFonts w:ascii="Times New Roman;Times;Serif" w:hAnsi="Times New Roman;Times;Serif"/>
          <w:sz w:val="20"/>
          <w:u w:val="single"/>
        </w:rPr>
        <w:t>Termination</w:t>
      </w:r>
      <w:r>
        <w:rPr>
          <w:rFonts w:ascii="Times New Roman;Times;Serif" w:hAnsi="Times New Roman;Times;Serif"/>
          <w:sz w:val="20"/>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Times;Serif" w:hAnsi="Times New Roman;Times;Serif"/>
          <w:position w:val="7"/>
          <w:sz w:val="16"/>
          <w:sz w:val="20"/>
        </w:rPr>
        <w:t>th</w:t>
      </w:r>
      <w:r>
        <w:rPr>
          <w:rFonts w:ascii="Times New Roman;Times;Serif" w:hAnsi="Times New Roman;Times;Serif"/>
          <w:sz w:val="20"/>
        </w:rPr>
        <w:t xml:space="preserve">) Trading Day following the date hereof;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such termination will affect the right of any party to sue for any breach by any other party (or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5.2       </w:t>
      </w:r>
      <w:r>
        <w:rPr>
          <w:rFonts w:ascii="Times New Roman;Times;Serif" w:hAnsi="Times New Roman;Times;Serif"/>
          <w:sz w:val="20"/>
          <w:u w:val="single"/>
        </w:rPr>
        <w:t>Fees and Expenses</w:t>
      </w:r>
      <w:r>
        <w:rPr>
          <w:rFonts w:ascii="Times New Roman;Times;Serif" w:hAnsi="Times New Roman;Times;Serif"/>
          <w:sz w:val="20"/>
        </w:rPr>
        <w:t>. At the Closing, the Company has agreed to reimburse Five Narrow Lane LP (“</w:t>
      </w:r>
      <w:r>
        <w:rPr>
          <w:rFonts w:ascii="Times New Roman;Times;Serif" w:hAnsi="Times New Roman;Times;Serif"/>
          <w:sz w:val="20"/>
          <w:u w:val="single"/>
        </w:rPr>
        <w:t>FNL</w:t>
      </w:r>
      <w:r>
        <w:rPr>
          <w:rFonts w:ascii="Times New Roman;Times;Serif" w:hAnsi="Times New Roman;Times;Serif"/>
          <w:sz w:val="20"/>
        </w:rPr>
        <w:t>”) the non-accountable sum of $75,000 for its legal fees and expenses. Accordingly, in lieu of the foregoing payments, the aggregate amount that FNL is to pay for its Securities at the Closing shall be reduced by $75,000 in lieu thereof. In addition, the Company shall reimburse one additional Purchaser for its reasonable and documented legal fees and expenses in an amount of up to $20,000, the aggregate amount that such additional Purchaser is to pay for its Securities at the Closing shall be reduced by such amount in lieu thereof.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conversion or exercise notice delivered by a Purchaser), stamp taxes and other taxes and duties levied in connection with the delivery of any Securities to the Purchasers.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5.3       </w:t>
      </w:r>
      <w:r>
        <w:rPr>
          <w:rFonts w:ascii="Times New Roman;Times;Serif" w:hAnsi="Times New Roman;Times;Serif"/>
          <w:sz w:val="20"/>
          <w:u w:val="single"/>
        </w:rPr>
        <w:t>Entire Agreement</w:t>
      </w:r>
      <w:r>
        <w:rPr>
          <w:rFonts w:ascii="Times New Roman;Times;Serif" w:hAnsi="Times New Roman;Times;Serif"/>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5.4       </w:t>
      </w:r>
      <w:r>
        <w:rPr>
          <w:rFonts w:ascii="Times New Roman;Times;Serif" w:hAnsi="Times New Roman;Times;Serif"/>
          <w:sz w:val="20"/>
          <w:u w:val="single"/>
        </w:rPr>
        <w:t>Notices</w:t>
      </w:r>
      <w:r>
        <w:rPr>
          <w:rFonts w:ascii="Times New Roman;Times;Serif" w:hAnsi="Times New Roman;Times;Serif"/>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Times;Serif" w:hAnsi="Times New Roman;Times;Serif"/>
          <w:position w:val="7"/>
          <w:sz w:val="16"/>
          <w:sz w:val="20"/>
        </w:rPr>
        <w:t>nd</w:t>
      </w:r>
      <w:r>
        <w:rPr>
          <w:rFonts w:ascii="Times New Roman;Times;Serif" w:hAnsi="Times New Roman;Times;Serif"/>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5.5       </w:t>
      </w:r>
      <w:r>
        <w:rPr>
          <w:rFonts w:ascii="Times New Roman;Times;Serif" w:hAnsi="Times New Roman;Times;Serif"/>
          <w:sz w:val="20"/>
          <w:u w:val="single"/>
        </w:rPr>
        <w:t>Amendments; Waivers</w:t>
      </w:r>
      <w:r>
        <w:rPr>
          <w:rFonts w:ascii="Times New Roman;Times;Serif" w:hAnsi="Times New Roman;Times;Serif"/>
          <w:sz w:val="20"/>
        </w:rPr>
        <w:t>. No provision of this Agreement may be waived, modified, supplemented or amended except in a written instrument signed, in the case of an amendment, by the Company and the Required Holders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5.6       </w:t>
      </w:r>
      <w:r>
        <w:rPr>
          <w:rFonts w:ascii="Times New Roman;Times;Serif" w:hAnsi="Times New Roman;Times;Serif"/>
          <w:sz w:val="20"/>
          <w:u w:val="single"/>
        </w:rPr>
        <w:t>Headings</w:t>
      </w:r>
      <w:r>
        <w:rPr>
          <w:rFonts w:ascii="Times New Roman;Times;Serif" w:hAnsi="Times New Roman;Times;Serif"/>
          <w:sz w:val="20"/>
        </w:rPr>
        <w:t>. The headings herein are for convenience only, do not constitute a part of this Agreement and shall not be deemed to limit or affect any of the provisions hereof.</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E-33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5.7       </w:t>
      </w:r>
      <w:r>
        <w:rPr>
          <w:rFonts w:ascii="Times New Roman;Times;Serif" w:hAnsi="Times New Roman;Times;Serif"/>
          <w:sz w:val="20"/>
          <w:u w:val="single"/>
        </w:rPr>
        <w:t>Successors and Assigns</w:t>
      </w:r>
      <w:r>
        <w:rPr>
          <w:rFonts w:ascii="Times New Roman;Times;Serif" w:hAnsi="Times New Roman;Times;Serif"/>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5.8       </w:t>
      </w:r>
      <w:r>
        <w:rPr>
          <w:rFonts w:ascii="Times New Roman;Times;Serif" w:hAnsi="Times New Roman;Times;Serif"/>
          <w:sz w:val="20"/>
          <w:u w:val="single"/>
        </w:rPr>
        <w:t>No Third-Party Beneficiaries</w:t>
      </w:r>
      <w:r>
        <w:rPr>
          <w:rFonts w:ascii="Times New Roman;Times;Serif" w:hAnsi="Times New Roman;Times;Serif"/>
          <w:sz w:val="20"/>
        </w:rPr>
        <w:t>. This Agreement is intended for the benefit of the parties hereto and their respective successors and permitted assigns and is not for the benefit of, nor may any provision hereof be enforced by, any other Person, except as otherwise set forth in Section 4.10.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5.9       </w:t>
      </w:r>
      <w:r>
        <w:rPr>
          <w:rFonts w:ascii="Times New Roman;Times;Serif" w:hAnsi="Times New Roman;Times;Serif"/>
          <w:sz w:val="20"/>
          <w:u w:val="single"/>
        </w:rPr>
        <w:t>Governing Law</w:t>
      </w:r>
      <w:r>
        <w:rPr>
          <w:rFonts w:ascii="Times New Roman;Times;Serif" w:hAnsi="Times New Roman;Times;Serif"/>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4.10,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5.10       </w:t>
      </w:r>
      <w:r>
        <w:rPr>
          <w:rFonts w:ascii="Times New Roman;Times;Serif" w:hAnsi="Times New Roman;Times;Serif"/>
          <w:sz w:val="20"/>
          <w:u w:val="single"/>
        </w:rPr>
        <w:t>Survival</w:t>
      </w:r>
      <w:r>
        <w:rPr>
          <w:rFonts w:ascii="Times New Roman;Times;Serif" w:hAnsi="Times New Roman;Times;Serif"/>
          <w:sz w:val="20"/>
        </w:rPr>
        <w:t>. The representations and warranties contained herein shall survive the Closing and the delivery of the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5.11       </w:t>
      </w:r>
      <w:r>
        <w:rPr>
          <w:rFonts w:ascii="Times New Roman;Times;Serif" w:hAnsi="Times New Roman;Times;Serif"/>
          <w:sz w:val="20"/>
          <w:u w:val="single"/>
        </w:rPr>
        <w:t>Execution</w:t>
      </w:r>
      <w:r>
        <w:rPr>
          <w:rFonts w:ascii="Times New Roman;Times;Serif" w:hAnsi="Times New Roman;Times;Serif"/>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5.12       </w:t>
      </w:r>
      <w:r>
        <w:rPr>
          <w:rFonts w:ascii="Times New Roman;Times;Serif" w:hAnsi="Times New Roman;Times;Serif"/>
          <w:sz w:val="20"/>
          <w:u w:val="single"/>
        </w:rPr>
        <w:t>Severability</w:t>
      </w:r>
      <w:r>
        <w:rPr>
          <w:rFonts w:ascii="Times New Roman;Times;Serif" w:hAnsi="Times New Roman;Times;Serif"/>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5.13       </w:t>
      </w:r>
      <w:r>
        <w:rPr>
          <w:rFonts w:ascii="Times New Roman;Times;Serif" w:hAnsi="Times New Roman;Times;Serif"/>
          <w:sz w:val="20"/>
          <w:u w:val="single"/>
        </w:rPr>
        <w:t>Rescission and Withdrawal Right</w:t>
      </w:r>
      <w:r>
        <w:rPr>
          <w:rFonts w:ascii="Times New Roman;Times;Serif" w:hAnsi="Times New Roman;Times;Serif"/>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case of a rescission of a conversion of the Preferred Stock or exercise of a Warrant, the applicable Purchaser shall be required to return any shares of Common Stock subject to any such rescinded conversion or exercise, as the case may be.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5.14       </w:t>
      </w:r>
      <w:r>
        <w:rPr>
          <w:rFonts w:ascii="Times New Roman;Times;Serif" w:hAnsi="Times New Roman;Times;Serif"/>
          <w:sz w:val="20"/>
          <w:u w:val="single"/>
        </w:rPr>
        <w:t>Replacement of Securities</w:t>
      </w:r>
      <w:r>
        <w:rPr>
          <w:rFonts w:ascii="Times New Roman;Times;Serif" w:hAnsi="Times New Roman;Times;Serif"/>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5.15       </w:t>
      </w:r>
      <w:r>
        <w:rPr>
          <w:rFonts w:ascii="Times New Roman;Times;Serif" w:hAnsi="Times New Roman;Times;Serif"/>
          <w:sz w:val="20"/>
          <w:u w:val="single"/>
        </w:rPr>
        <w:t>Remedies</w:t>
      </w:r>
      <w:r>
        <w:rPr>
          <w:rFonts w:ascii="Times New Roman;Times;Serif" w:hAnsi="Times New Roman;Times;Serif"/>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E-34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5.16       </w:t>
      </w:r>
      <w:r>
        <w:rPr>
          <w:rFonts w:ascii="Times New Roman;Times;Serif" w:hAnsi="Times New Roman;Times;Serif"/>
          <w:sz w:val="20"/>
          <w:u w:val="single"/>
        </w:rPr>
        <w:t>Payment Set Aside</w:t>
      </w:r>
      <w:r>
        <w:rPr>
          <w:rFonts w:ascii="Times New Roman;Times;Serif" w:hAnsi="Times New Roman;Times;Serif"/>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5.17       </w:t>
      </w:r>
      <w:r>
        <w:rPr>
          <w:rFonts w:ascii="Times New Roman;Times;Serif" w:hAnsi="Times New Roman;Times;Serif"/>
          <w:sz w:val="20"/>
          <w:u w:val="single"/>
        </w:rPr>
        <w:t>Usury</w:t>
      </w:r>
      <w:r>
        <w:rPr>
          <w:rFonts w:ascii="Times New Roman;Times;Serif" w:hAnsi="Times New Roman;Times;Serif"/>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any Purchaser in order to enforce any right or remedy under any Transaction Document. Notwithstanding any provision to the contrary contained in any Transaction Document, it is expressly agreed and provided that the total liability of the Company under the Transaction Documents for payments in the nature of interest shall not exceed the maximum lawful rate authorized under applicable law (the “</w:t>
      </w:r>
      <w:r>
        <w:rPr>
          <w:rFonts w:ascii="Times New Roman;Times;Serif" w:hAnsi="Times New Roman;Times;Serif"/>
          <w:sz w:val="20"/>
          <w:u w:val="single"/>
        </w:rPr>
        <w:t>Maximum Rate</w:t>
      </w:r>
      <w:r>
        <w:rPr>
          <w:rFonts w:ascii="Times New Roman;Times;Serif" w:hAnsi="Times New Roman;Times;Serif"/>
          <w:sz w:val="20"/>
        </w:rPr>
        <w:t>”), and, without limiting the foregoing, in no event shall any rate of interest or default interest, or both of them, when aggregated with any other sums in the nature of interest that the Company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effective date thereof forward, unless such application is precluded by applicable law. If under any circumstances whatsoever, interest in excess of the Maximum Rate is paid by the Company to any Purchaser with respect to indebtedness evidenced by the Transaction Documents, such excess shall be applied by such Purchaser to the unpaid principal balance of any such indebtedness or be refunded to the Company, the manner of handling such excess to be at such Purchaser’s election.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5.18       </w:t>
      </w:r>
      <w:r>
        <w:rPr>
          <w:rFonts w:ascii="Times New Roman;Times;Serif" w:hAnsi="Times New Roman;Times;Serif"/>
          <w:sz w:val="20"/>
          <w:u w:val="single"/>
        </w:rPr>
        <w:t>Independent Nature of Purchasers’ Obligations and Rights</w:t>
      </w:r>
      <w:r>
        <w:rPr>
          <w:rFonts w:ascii="Times New Roman;Times;Serif" w:hAnsi="Times New Roman;Times;Serif"/>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E-35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5.19       </w:t>
      </w:r>
      <w:r>
        <w:rPr>
          <w:rFonts w:ascii="Times New Roman;Times;Serif" w:hAnsi="Times New Roman;Times;Serif"/>
          <w:sz w:val="20"/>
          <w:u w:val="single"/>
        </w:rPr>
        <w:t>Liquidated Damages</w:t>
      </w:r>
      <w:r>
        <w:rPr>
          <w:rFonts w:ascii="Times New Roman;Times;Serif" w:hAnsi="Times New Roman;Times;Serif"/>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5.20       </w:t>
      </w:r>
      <w:r>
        <w:rPr>
          <w:rFonts w:ascii="Times New Roman;Times;Serif" w:hAnsi="Times New Roman;Times;Serif"/>
          <w:sz w:val="20"/>
          <w:u w:val="single"/>
        </w:rPr>
        <w:t>Saturdays, Sundays, Holidays, etc.</w:t>
      </w:r>
      <w:r>
        <w:rPr>
          <w:rFonts w:ascii="Times New Roman;Times;Serif" w:hAnsi="Times New Roman;Times;Serif"/>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5.21       </w:t>
      </w:r>
      <w:r>
        <w:rPr>
          <w:rFonts w:ascii="Times New Roman;Times;Serif" w:hAnsi="Times New Roman;Times;Serif"/>
          <w:sz w:val="20"/>
          <w:u w:val="single"/>
        </w:rPr>
        <w:t>Construction</w:t>
      </w:r>
      <w:r>
        <w:rPr>
          <w:rFonts w:ascii="Times New Roman;Times;Serif" w:hAnsi="Times New Roman;Times;Serif"/>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5.22       </w:t>
      </w:r>
      <w:r>
        <w:rPr>
          <w:rFonts w:ascii="Times New Roman;Times;Serif" w:hAnsi="Times New Roman;Times;Serif"/>
          <w:b/>
          <w:sz w:val="20"/>
          <w:u w:val="single"/>
        </w:rPr>
        <w:t>WAIVER OF JURY TRIAL</w:t>
      </w:r>
      <w:r>
        <w:rPr>
          <w:rFonts w:ascii="Times New Roman;Times;Serif" w:hAnsi="Times New Roman;Times;Serif"/>
          <w:b/>
          <w:sz w:val="20"/>
        </w:rPr>
        <w:t xml:space="preserve">.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jc w:val="center"/>
        <w:rPr>
          <w:rFonts w:ascii="Times New Roman;Times;Serif" w:hAnsi="Times New Roman;Times;Serif"/>
          <w:i/>
          <w:sz w:val="20"/>
        </w:rPr>
      </w:pPr>
      <w:r>
        <w:rPr>
          <w:rFonts w:ascii="Times New Roman;Times;Serif" w:hAnsi="Times New Roman;Times;Serif"/>
          <w:i/>
          <w:sz w:val="20"/>
        </w:rPr>
        <w:t>(Signature Pages Follow)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E-36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WITNESS WHEREOF, the parties hereto have caused this Securities Purchase Agreement to be duly executed by their respective authorized signatories as of the date first indicated above.</w:t>
      </w:r>
    </w:p>
    <w:p>
      <w:pPr>
        <w:pStyle w:val="TextBody"/>
        <w:bidi w:val="0"/>
        <w:spacing w:before="0" w:after="283"/>
        <w:jc w:val="left"/>
        <w:rPr/>
      </w:pPr>
      <w:r>
        <w:rPr/>
        <w:t> </w:t>
      </w:r>
    </w:p>
    <w:tbl>
      <w:tblPr>
        <w:tblW w:w="6340" w:type="dxa"/>
        <w:jc w:val="left"/>
        <w:tblInd w:w="0" w:type="dxa"/>
        <w:tblLayout w:type="fixed"/>
        <w:tblCellMar>
          <w:top w:w="0" w:type="dxa"/>
          <w:left w:w="0" w:type="dxa"/>
          <w:bottom w:w="0" w:type="dxa"/>
          <w:right w:w="0" w:type="dxa"/>
        </w:tblCellMar>
      </w:tblPr>
      <w:tblGrid>
        <w:gridCol w:w="4745"/>
        <w:gridCol w:w="1595"/>
      </w:tblGrid>
      <w:tr>
        <w:trPr/>
        <w:tc>
          <w:tcPr>
            <w:tcW w:w="4745" w:type="dxa"/>
            <w:tcBorders/>
            <w:vAlign w:val="center"/>
          </w:tcPr>
          <w:p>
            <w:pPr>
              <w:pStyle w:val="TableContents"/>
              <w:bidi w:val="0"/>
              <w:jc w:val="left"/>
              <w:rPr>
                <w:rFonts w:ascii="Times New Roman;Times;Serif" w:hAnsi="Times New Roman;Times;Serif"/>
                <w:b/>
                <w:caps/>
                <w:sz w:val="20"/>
              </w:rPr>
            </w:pPr>
            <w:r>
              <w:rPr>
                <w:rFonts w:ascii="Times New Roman;Times;Serif" w:hAnsi="Times New Roman;Times;Serif"/>
                <w:b/>
                <w:caps/>
                <w:sz w:val="20"/>
              </w:rPr>
              <w:t>Expion ENERGY, inc.</w:t>
            </w:r>
          </w:p>
          <w:p>
            <w:pPr>
              <w:pStyle w:val="TableContents"/>
              <w:bidi w:val="0"/>
              <w:spacing w:before="0" w:after="283"/>
              <w:jc w:val="left"/>
              <w:rPr/>
            </w:pPr>
            <w:r>
              <w:rPr/>
              <w:t> </w:t>
            </w:r>
          </w:p>
        </w:tc>
        <w:tc>
          <w:tcPr>
            <w:tcW w:w="1595" w:type="dxa"/>
            <w:tcBorders/>
            <w:vAlign w:val="center"/>
          </w:tcPr>
          <w:p>
            <w:pPr>
              <w:pStyle w:val="TableContents"/>
              <w:bidi w:val="0"/>
              <w:jc w:val="left"/>
              <w:rPr>
                <w:rFonts w:ascii="Times New Roman;Times;Serif" w:hAnsi="Times New Roman;Times;Serif"/>
                <w:sz w:val="20"/>
                <w:u w:val="single"/>
              </w:rPr>
            </w:pPr>
            <w:r>
              <w:rPr>
                <w:rFonts w:ascii="Times New Roman;Times;Serif" w:hAnsi="Times New Roman;Times;Serif"/>
                <w:sz w:val="20"/>
                <w:u w:val="single"/>
              </w:rPr>
              <w:t>Address for Notice:</w:t>
            </w:r>
          </w:p>
          <w:p>
            <w:pPr>
              <w:pStyle w:val="TableContents"/>
              <w:bidi w:val="0"/>
              <w:jc w:val="left"/>
              <w:rPr/>
            </w:pPr>
            <w:r>
              <w:rPr/>
              <w:t> </w:t>
            </w:r>
          </w:p>
          <w:p>
            <w:pPr>
              <w:pStyle w:val="TableContents"/>
              <w:bidi w:val="0"/>
              <w:spacing w:before="0" w:after="283"/>
              <w:jc w:val="left"/>
              <w:rPr/>
            </w:pPr>
            <w:r>
              <w:rPr/>
              <w:t> </w:t>
            </w:r>
          </w:p>
        </w:tc>
      </w:tr>
      <w:tr>
        <w:trPr/>
        <w:tc>
          <w:tcPr>
            <w:tcW w:w="4745"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Name:</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Title:</w:t>
            </w:r>
          </w:p>
          <w:p>
            <w:pPr>
              <w:pStyle w:val="TableContents"/>
              <w:bidi w:val="0"/>
              <w:jc w:val="left"/>
              <w:rPr/>
            </w:pPr>
            <w:r>
              <w:rPr/>
              <w:t> </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to (which shall not constitute notice):</w:t>
            </w:r>
          </w:p>
        </w:tc>
        <w:tc>
          <w:tcPr>
            <w:tcW w:w="159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[REMAINDER OF PAGE INTENTIONALLY LEFT BLANK</w:t>
      </w:r>
    </w:p>
    <w:p>
      <w:pPr>
        <w:pStyle w:val="TextBody"/>
        <w:bidi w:val="0"/>
        <w:spacing w:before="0" w:after="480"/>
        <w:jc w:val="center"/>
        <w:rPr>
          <w:rFonts w:ascii="Times New Roman;Times;Serif" w:hAnsi="Times New Roman;Times;Serif"/>
          <w:sz w:val="20"/>
        </w:rPr>
      </w:pPr>
      <w:r>
        <w:rPr>
          <w:rFonts w:ascii="Times New Roman;Times;Serif" w:hAnsi="Times New Roman;Times;Serif"/>
          <w:sz w:val="20"/>
        </w:rPr>
        <w:t>SIGNATURE PAGE FOR PURCHASER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E-37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[PURCHASER SIGNATURE PAGES TO XPON SECURITIES PURCHASE AGREEMENT]</w:t>
      </w:r>
    </w:p>
    <w:p>
      <w:pPr>
        <w:pStyle w:val="TextBody"/>
        <w:bidi w:val="0"/>
        <w:spacing w:before="0" w:after="283"/>
        <w:jc w:val="left"/>
        <w:rPr/>
      </w:pPr>
      <w:r>
        <w:rPr/>
        <w:t> </w:t>
      </w:r>
    </w:p>
    <w:p>
      <w:pPr>
        <w:pStyle w:val="TextBody"/>
        <w:bidi w:val="0"/>
        <w:spacing w:before="0" w:after="480"/>
        <w:ind w:left="0" w:right="0" w:firstLine="720"/>
        <w:jc w:val="both"/>
        <w:rPr>
          <w:rFonts w:ascii="Times New Roman;Times;Serif" w:hAnsi="Times New Roman;Times;Serif"/>
          <w:sz w:val="20"/>
        </w:rPr>
      </w:pPr>
      <w:r>
        <w:rPr>
          <w:rFonts w:ascii="Times New Roman;Times;Serif" w:hAnsi="Times New Roman;Times;Serif"/>
          <w:sz w:val="20"/>
        </w:rPr>
        <w:t>IN WITNESS WHEREOF, the undersigned have caused this Securities Purchase Agreement to be duly executed by their respective authorized signatories as of the date first indicated above.</w:t>
      </w:r>
    </w:p>
    <w:p>
      <w:pPr>
        <w:pStyle w:val="TextBody"/>
        <w:bidi w:val="0"/>
        <w:jc w:val="left"/>
        <w:rPr>
          <w:rFonts w:ascii="Times New Roman;Times;Serif" w:hAnsi="Times New Roman;Times;Serif"/>
          <w:sz w:val="20"/>
        </w:rPr>
      </w:pPr>
      <w:r>
        <w:rPr>
          <w:rFonts w:ascii="Times New Roman;Times;Serif" w:hAnsi="Times New Roman;Times;Serif"/>
          <w:sz w:val="20"/>
        </w:rPr>
        <w:t>Name of Purchaser: ____________________________________________________</w:t>
      </w:r>
    </w:p>
    <w:p>
      <w:pPr>
        <w:pStyle w:val="TextBody"/>
        <w:bidi w:val="0"/>
        <w:jc w:val="left"/>
        <w:rPr>
          <w:rFonts w:ascii="Times New Roman;Times;Serif" w:hAnsi="Times New Roman;Times;Serif"/>
          <w:sz w:val="20"/>
        </w:rPr>
      </w:pPr>
      <w:r>
        <w:rPr>
          <w:rFonts w:ascii="Times New Roman;Times;Serif" w:hAnsi="Times New Roman;Times;Serif"/>
          <w:i/>
          <w:sz w:val="20"/>
        </w:rPr>
        <w:t>Signature of Authorized Signatory of Purchaser</w:t>
      </w:r>
      <w:r>
        <w:rPr>
          <w:rFonts w:ascii="Times New Roman;Times;Serif" w:hAnsi="Times New Roman;Times;Serif"/>
          <w:sz w:val="20"/>
        </w:rPr>
        <w:t>: __________________________</w:t>
      </w:r>
    </w:p>
    <w:p>
      <w:pPr>
        <w:pStyle w:val="TextBody"/>
        <w:bidi w:val="0"/>
        <w:jc w:val="left"/>
        <w:rPr>
          <w:rFonts w:ascii="Times New Roman;Times;Serif" w:hAnsi="Times New Roman;Times;Serif"/>
          <w:sz w:val="20"/>
        </w:rPr>
      </w:pPr>
      <w:r>
        <w:rPr>
          <w:rFonts w:ascii="Times New Roman;Times;Serif" w:hAnsi="Times New Roman;Times;Serif"/>
          <w:sz w:val="20"/>
        </w:rPr>
        <w:t>Name of Authorized Signatory: ____________________________________</w:t>
      </w:r>
    </w:p>
    <w:p>
      <w:pPr>
        <w:pStyle w:val="TextBody"/>
        <w:bidi w:val="0"/>
        <w:jc w:val="left"/>
        <w:rPr>
          <w:rFonts w:ascii="Times New Roman;Times;Serif" w:hAnsi="Times New Roman;Times;Serif"/>
          <w:sz w:val="20"/>
        </w:rPr>
      </w:pPr>
      <w:r>
        <w:rPr>
          <w:rFonts w:ascii="Times New Roman;Times;Serif" w:hAnsi="Times New Roman;Times;Serif"/>
          <w:sz w:val="20"/>
        </w:rPr>
        <w:t>Title of Authorized Signatory: _____________________________________</w:t>
      </w:r>
    </w:p>
    <w:p>
      <w:pPr>
        <w:pStyle w:val="TextBody"/>
        <w:bidi w:val="0"/>
        <w:jc w:val="left"/>
        <w:rPr>
          <w:rFonts w:ascii="Times New Roman;Times;Serif" w:hAnsi="Times New Roman;Times;Serif"/>
          <w:sz w:val="20"/>
        </w:rPr>
      </w:pPr>
      <w:r>
        <w:rPr>
          <w:rFonts w:ascii="Times New Roman;Times;Serif" w:hAnsi="Times New Roman;Times;Serif"/>
          <w:sz w:val="20"/>
        </w:rPr>
        <w:t>Email Address of Authorized Signatory: ___________________________________________</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Address for Notice to Purchaser:</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Address for Delivery of Securities to Purchaser (if not same as address for notice):</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Subscription Amount: $________________</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Warrants: _____________ Beneficial Ownership Blocker  4.99% or  9.99%</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EIN Number: _______________________</w:t>
      </w:r>
    </w:p>
    <w:p>
      <w:pPr>
        <w:pStyle w:val="TextBody"/>
        <w:bidi w:val="0"/>
        <w:spacing w:before="0"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[SIGNATURE PAGES CONTINUE]</w:t>
      </w:r>
    </w:p>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E-38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u w:val="single"/>
        </w:rPr>
      </w:pPr>
      <w:r>
        <w:rPr>
          <w:rFonts w:ascii="Times New Roman;Times;Serif" w:hAnsi="Times New Roman;Times;Serif"/>
          <w:b/>
          <w:sz w:val="20"/>
          <w:u w:val="single"/>
        </w:rPr>
        <w:t>Exhibit A</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Certificate of Designation of the Series A-1 Convertible Preferred Stock</w:t>
      </w:r>
    </w:p>
    <w:p>
      <w:pPr>
        <w:pStyle w:val="TextBody"/>
        <w:bidi w:val="0"/>
        <w:jc w:val="center"/>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E-39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u w:val="single"/>
        </w:rPr>
      </w:pPr>
      <w:r>
        <w:rPr>
          <w:rFonts w:ascii="Times New Roman;Times;Serif" w:hAnsi="Times New Roman;Times;Serif"/>
          <w:b/>
          <w:sz w:val="20"/>
          <w:u w:val="single"/>
        </w:rPr>
        <w:t>Exhibit B</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8% Convertible Debenture Due August 21, 2029</w:t>
      </w:r>
    </w:p>
    <w:p>
      <w:pPr>
        <w:pStyle w:val="TextBody"/>
        <w:bidi w:val="0"/>
        <w:spacing w:before="0" w:after="283"/>
        <w:jc w:val="left"/>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E-40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u w:val="single"/>
        </w:rPr>
      </w:pPr>
      <w:r>
        <w:rPr>
          <w:rFonts w:ascii="Times New Roman;Times;Serif" w:hAnsi="Times New Roman;Times;Serif"/>
          <w:b/>
          <w:sz w:val="20"/>
          <w:u w:val="single"/>
        </w:rPr>
        <w:t>Exhibit C</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Registration Rights Agreement</w:t>
      </w:r>
    </w:p>
    <w:p>
      <w:pPr>
        <w:pStyle w:val="TextBody"/>
        <w:bidi w:val="0"/>
        <w:jc w:val="center"/>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E-41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u w:val="single"/>
        </w:rPr>
      </w:pPr>
      <w:r>
        <w:rPr>
          <w:rFonts w:ascii="Times New Roman;Times;Serif" w:hAnsi="Times New Roman;Times;Serif"/>
          <w:b/>
          <w:sz w:val="20"/>
          <w:u w:val="single"/>
        </w:rPr>
        <w:t>Exhibit D</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Common Stock Purchase Warrant</w:t>
      </w:r>
    </w:p>
    <w:p>
      <w:pPr>
        <w:pStyle w:val="TextBody"/>
        <w:bidi w:val="0"/>
        <w:jc w:val="center"/>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E-42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34" w:name="ex_f.htm"/>
      <w:bookmarkStart w:id="35" w:name="ksex_f"/>
      <w:bookmarkEnd w:id="34"/>
      <w:bookmarkEnd w:id="35"/>
      <w:r>
        <w:rPr>
          <w:rFonts w:ascii="Times New Roman;Times;Serif" w:hAnsi="Times New Roman;Times;Serif"/>
          <w:b/>
          <w:sz w:val="20"/>
        </w:rPr>
        <w:t>Exhibit F</w:t>
      </w:r>
      <w:r>
        <w:br w:type="page"/>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FORM OF REGISTRATION RIGHTS AGREEMENT</w:t>
      </w:r>
    </w:p>
    <w:p>
      <w:pPr>
        <w:pStyle w:val="TextBody"/>
        <w:bidi w:val="0"/>
        <w:spacing w:before="0" w:after="283"/>
        <w:jc w:val="left"/>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This Registration Rights Agreement (this “</w:t>
      </w:r>
      <w:r>
        <w:rPr>
          <w:rFonts w:ascii="Times New Roman;Times;Serif" w:hAnsi="Times New Roman;Times;Serif"/>
          <w:sz w:val="20"/>
          <w:u w:val="single"/>
        </w:rPr>
        <w:t>Agreement</w:t>
      </w:r>
      <w:r>
        <w:rPr>
          <w:rFonts w:ascii="Times New Roman;Times;Serif" w:hAnsi="Times New Roman;Times;Serif"/>
          <w:sz w:val="20"/>
        </w:rPr>
        <w:t>”) is made and entered into as of [___________], between Expion Energy, Inc., a Nevada corporation (the “</w:t>
      </w:r>
      <w:r>
        <w:rPr>
          <w:rFonts w:ascii="Times New Roman;Times;Serif" w:hAnsi="Times New Roman;Times;Serif"/>
          <w:sz w:val="20"/>
          <w:u w:val="single"/>
        </w:rPr>
        <w:t>Company</w:t>
      </w:r>
      <w:r>
        <w:rPr>
          <w:rFonts w:ascii="Times New Roman;Times;Serif" w:hAnsi="Times New Roman;Times;Serif"/>
          <w:sz w:val="20"/>
        </w:rPr>
        <w:t>”), and each of the several purchasers signatory hereto (each such purchaser, a “</w:t>
      </w:r>
      <w:r>
        <w:rPr>
          <w:rFonts w:ascii="Times New Roman;Times;Serif" w:hAnsi="Times New Roman;Times;Serif"/>
          <w:sz w:val="20"/>
          <w:u w:val="single"/>
        </w:rPr>
        <w:t>Purchaser</w:t>
      </w:r>
      <w:r>
        <w:rPr>
          <w:rFonts w:ascii="Times New Roman;Times;Serif" w:hAnsi="Times New Roman;Times;Serif"/>
          <w:sz w:val="20"/>
        </w:rPr>
        <w:t>” and, collectively, the “</w:t>
      </w:r>
      <w:r>
        <w:rPr>
          <w:rFonts w:ascii="Times New Roman;Times;Serif" w:hAnsi="Times New Roman;Times;Serif"/>
          <w:sz w:val="20"/>
          <w:u w:val="single"/>
        </w:rPr>
        <w:t>Purchasers</w:t>
      </w:r>
      <w:r>
        <w:rPr>
          <w:rFonts w:ascii="Times New Roman;Times;Serif" w:hAnsi="Times New Roman;Times;Serif"/>
          <w:sz w:val="20"/>
        </w:rPr>
        <w:t>”).</w:t>
      </w:r>
    </w:p>
    <w:p>
      <w:pPr>
        <w:pStyle w:val="TextBody"/>
        <w:bidi w:val="0"/>
        <w:jc w:val="both"/>
        <w:rPr/>
      </w:pPr>
      <w:r>
        <w:rPr/>
        <w:t> </w:t>
      </w:r>
    </w:p>
    <w:p>
      <w:pPr>
        <w:pStyle w:val="TextBody"/>
        <w:bidi w:val="0"/>
        <w:ind w:left="0" w:right="0" w:firstLine="1080"/>
        <w:jc w:val="both"/>
        <w:rPr>
          <w:rFonts w:ascii="Times New Roman;Times;Serif" w:hAnsi="Times New Roman;Times;Serif"/>
          <w:sz w:val="20"/>
        </w:rPr>
      </w:pPr>
      <w:r>
        <w:rPr>
          <w:rFonts w:ascii="Times New Roman;Times;Serif" w:hAnsi="Times New Roman;Times;Serif"/>
          <w:sz w:val="20"/>
        </w:rPr>
        <w:t>This Agreement is made pursuant to the Securities Purchase Agreement, dated as of the date hereof, between the Company and each Purchaser (the “</w:t>
      </w:r>
      <w:r>
        <w:rPr>
          <w:rFonts w:ascii="Times New Roman;Times;Serif" w:hAnsi="Times New Roman;Times;Serif"/>
          <w:sz w:val="20"/>
          <w:u w:val="single"/>
        </w:rPr>
        <w:t>Purchase Agreement</w:t>
      </w:r>
      <w:r>
        <w:rPr>
          <w:rFonts w:ascii="Times New Roman;Times;Serif" w:hAnsi="Times New Roman;Times;Serif"/>
          <w:sz w:val="20"/>
        </w:rPr>
        <w:t>”).</w:t>
      </w:r>
    </w:p>
    <w:p>
      <w:pPr>
        <w:pStyle w:val="TextBody"/>
        <w:bidi w:val="0"/>
        <w:jc w:val="both"/>
        <w:rPr/>
      </w:pPr>
      <w:r>
        <w:rPr/>
        <w:t> </w:t>
      </w:r>
    </w:p>
    <w:p>
      <w:pPr>
        <w:pStyle w:val="TextBody"/>
        <w:bidi w:val="0"/>
        <w:ind w:left="0" w:right="0" w:firstLine="1080"/>
        <w:jc w:val="both"/>
        <w:rPr>
          <w:rFonts w:ascii="Times New Roman;Times;Serif" w:hAnsi="Times New Roman;Times;Serif"/>
          <w:sz w:val="20"/>
        </w:rPr>
      </w:pPr>
      <w:r>
        <w:rPr>
          <w:rFonts w:ascii="Times New Roman;Times;Serif" w:hAnsi="Times New Roman;Times;Serif"/>
          <w:sz w:val="20"/>
        </w:rPr>
        <w:t>The Company and each Purchaser hereby agrees as follows: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1.        </w:t>
      </w:r>
      <w:r>
        <w:rPr>
          <w:rFonts w:ascii="Times New Roman;Times;Serif" w:hAnsi="Times New Roman;Times;Serif"/>
          <w:sz w:val="20"/>
          <w:u w:val="single"/>
        </w:rPr>
        <w:t>Definitions</w:t>
      </w:r>
      <w:r>
        <w:rPr>
          <w:rFonts w:ascii="Times New Roman;Times;Serif" w:hAnsi="Times New Roman;Times;Serif"/>
          <w:sz w:val="20"/>
        </w:rPr>
        <w:t>.</w:t>
      </w:r>
    </w:p>
    <w:p>
      <w:pPr>
        <w:pStyle w:val="TextBody"/>
        <w:bidi w:val="0"/>
        <w:jc w:val="both"/>
        <w:rPr/>
      </w:pPr>
      <w:r>
        <w:rPr/>
        <w:t> </w:t>
      </w:r>
    </w:p>
    <w:p>
      <w:pPr>
        <w:pStyle w:val="TextBody"/>
        <w:bidi w:val="0"/>
        <w:ind w:left="0" w:right="0" w:firstLine="1080"/>
        <w:jc w:val="both"/>
        <w:rPr>
          <w:rFonts w:ascii="Times New Roman;Times;Serif" w:hAnsi="Times New Roman;Times;Serif"/>
          <w:sz w:val="20"/>
        </w:rPr>
      </w:pPr>
      <w:r>
        <w:rPr>
          <w:rFonts w:ascii="Times New Roman;Times;Serif" w:hAnsi="Times New Roman;Times;Serif"/>
          <w:b/>
          <w:sz w:val="20"/>
        </w:rPr>
        <w:t>Capitalized terms used and not otherwise defined herein that are defined in the Purchase Agreement shall have the meanings given such terms in the Purchase Agreement.</w:t>
      </w:r>
      <w:r>
        <w:rPr>
          <w:rFonts w:ascii="Times New Roman;Times;Serif" w:hAnsi="Times New Roman;Times;Serif"/>
          <w:sz w:val="20"/>
        </w:rPr>
        <w:t xml:space="preserve"> As used in this Agreement, the following terms shall have the following meanings:</w:t>
      </w:r>
    </w:p>
    <w:p>
      <w:pPr>
        <w:pStyle w:val="TextBody"/>
        <w:bidi w:val="0"/>
        <w:ind w:left="720" w:right="0" w:hanging="0"/>
        <w:jc w:val="both"/>
        <w:rPr/>
      </w:pPr>
      <w:r>
        <w:rPr/>
        <w:t> </w:t>
      </w:r>
    </w:p>
    <w:p>
      <w:pPr>
        <w:pStyle w:val="TextBody"/>
        <w:bidi w:val="0"/>
        <w:ind w:left="720" w:right="0" w:firstLine="720"/>
        <w:jc w:val="both"/>
        <w:rPr/>
      </w:pPr>
      <w:r>
        <w:rPr/>
        <w:t>“</w:t>
      </w:r>
      <w:r>
        <w:rPr>
          <w:rFonts w:ascii="Times New Roman;Times;Serif" w:hAnsi="Times New Roman;Times;Serif"/>
          <w:sz w:val="20"/>
          <w:u w:val="single"/>
        </w:rPr>
        <w:t>Advice</w:t>
      </w:r>
      <w:r>
        <w:rPr>
          <w:rFonts w:ascii="Times New Roman;Times;Serif" w:hAnsi="Times New Roman;Times;Serif"/>
          <w:sz w:val="20"/>
        </w:rPr>
        <w:t>” shall have the meaning set forth in Section 6(c).</w:t>
      </w:r>
    </w:p>
    <w:p>
      <w:pPr>
        <w:pStyle w:val="TextBody"/>
        <w:bidi w:val="0"/>
        <w:ind w:left="720" w:right="0" w:hanging="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Shares</w:t>
      </w:r>
      <w:r>
        <w:rPr>
          <w:rFonts w:ascii="Times New Roman;Times;Serif" w:hAnsi="Times New Roman;Times;Serif"/>
          <w:sz w:val="20"/>
        </w:rPr>
        <w:t>” shall have the respective meanings set forth in the Debentures and the Certificate of Designation of the Preferred Stock, as applicable.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Effectiveness Date</w:t>
      </w:r>
      <w:r>
        <w:rPr>
          <w:rFonts w:ascii="Times New Roman;Times;Serif" w:hAnsi="Times New Roman;Times;Serif"/>
          <w:sz w:val="20"/>
        </w:rPr>
        <w:t>” means, with respect to the Initial Registration Statement required to be filed hereunder, the 45</w:t>
      </w:r>
      <w:r>
        <w:rPr>
          <w:rFonts w:ascii="Times New Roman;Times;Serif" w:hAnsi="Times New Roman;Times;Serif"/>
          <w:position w:val="7"/>
          <w:sz w:val="16"/>
          <w:sz w:val="20"/>
        </w:rPr>
        <w:t>th</w:t>
      </w:r>
      <w:r>
        <w:rPr>
          <w:rFonts w:ascii="Times New Roman;Times;Serif" w:hAnsi="Times New Roman;Times;Serif"/>
          <w:sz w:val="20"/>
        </w:rPr>
        <w:t xml:space="preserve"> calendar day following the date of Shareholder Approval (or, in the event of a “full review” by the Commission, the 75</w:t>
      </w:r>
      <w:r>
        <w:rPr>
          <w:rFonts w:ascii="Times New Roman;Times;Serif" w:hAnsi="Times New Roman;Times;Serif"/>
          <w:position w:val="7"/>
          <w:sz w:val="16"/>
          <w:sz w:val="20"/>
        </w:rPr>
        <w:t>th</w:t>
      </w:r>
      <w:r>
        <w:rPr>
          <w:rFonts w:ascii="Times New Roman;Times;Serif" w:hAnsi="Times New Roman;Times;Serif"/>
          <w:sz w:val="20"/>
        </w:rPr>
        <w:t xml:space="preserve"> calendar day following such date, as applicable) and with respect to any additional Registration Statements which may be required pursuant to Section 2(c) or Section 3(c), the 30</w:t>
      </w:r>
      <w:r>
        <w:rPr>
          <w:rFonts w:ascii="Times New Roman;Times;Serif" w:hAnsi="Times New Roman;Times;Serif"/>
          <w:position w:val="7"/>
          <w:sz w:val="16"/>
          <w:sz w:val="20"/>
        </w:rPr>
        <w:t>th</w:t>
      </w:r>
      <w:r>
        <w:rPr>
          <w:rFonts w:ascii="Times New Roman;Times;Serif" w:hAnsi="Times New Roman;Times;Serif"/>
          <w:sz w:val="20"/>
        </w:rPr>
        <w:t xml:space="preserve"> calendar day following the date on which an additional Registration Statement is required to be filed hereunder (or, in the event of a “full review” by the Commission, the 60th calendar day following the date such additional Registration Statement is required to be filed hereunder);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the Company is notified by the Commission that one or more of the above Registration Statements will not be reviewed or is no longer subject to further review and comments, the Effectiveness Date as to such Registration Statement shall be the third Trading Day following the date on which the Company is so notified if such date precedes the dates otherwise required above, provided, further, if such Effectiveness Date falls on a day that is not a Trading Day, then the Effectiveness Date shall be the next succeeding Trading Day. Notwithstanding anything to the contrary set forth herein, if the U.S. federal government is “shutdown” due to a budget impasse on any day following the filing of the Initial Registration Statement or any additional Registration Statement, the “Effectiveness Date” deadlines set forth herein shall be automatically extended for each day of such “shutdown” after such filing.</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Effectiveness Period</w:t>
      </w:r>
      <w:r>
        <w:rPr>
          <w:rFonts w:ascii="Times New Roman;Times;Serif" w:hAnsi="Times New Roman;Times;Serif"/>
          <w:sz w:val="20"/>
        </w:rPr>
        <w:t>” shall have the meaning set forth in Section 2(a).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Event</w:t>
      </w:r>
      <w:r>
        <w:rPr>
          <w:rFonts w:ascii="Times New Roman;Times;Serif" w:hAnsi="Times New Roman;Times;Serif"/>
          <w:sz w:val="20"/>
        </w:rPr>
        <w:t>” shall have the meaning set forth in Section 2(d).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Event Date</w:t>
      </w:r>
      <w:r>
        <w:rPr>
          <w:rFonts w:ascii="Times New Roman;Times;Serif" w:hAnsi="Times New Roman;Times;Serif"/>
          <w:sz w:val="20"/>
        </w:rPr>
        <w:t>” shall have the meaning set forth in Section 2(d).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Filing Date</w:t>
      </w:r>
      <w:r>
        <w:rPr>
          <w:rFonts w:ascii="Times New Roman;Times;Serif" w:hAnsi="Times New Roman;Times;Serif"/>
          <w:sz w:val="20"/>
        </w:rPr>
        <w:t>” means, with respect to the Initial Registration Statement required hereunder, the 20</w:t>
      </w:r>
      <w:r>
        <w:rPr>
          <w:rFonts w:ascii="Times New Roman;Times;Serif" w:hAnsi="Times New Roman;Times;Serif"/>
          <w:position w:val="7"/>
          <w:sz w:val="16"/>
          <w:sz w:val="20"/>
        </w:rPr>
        <w:t>th</w:t>
      </w:r>
      <w:r>
        <w:rPr>
          <w:rFonts w:ascii="Times New Roman;Times;Serif" w:hAnsi="Times New Roman;Times;Serif"/>
          <w:sz w:val="20"/>
        </w:rPr>
        <w:t xml:space="preserve"> calendar day following the date of Shareholder Approval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Holder</w:t>
      </w:r>
      <w:r>
        <w:rPr>
          <w:rFonts w:ascii="Times New Roman;Times;Serif" w:hAnsi="Times New Roman;Times;Serif"/>
          <w:sz w:val="20"/>
        </w:rPr>
        <w:t>” or “</w:t>
      </w:r>
      <w:r>
        <w:rPr>
          <w:rFonts w:ascii="Times New Roman;Times;Serif" w:hAnsi="Times New Roman;Times;Serif"/>
          <w:sz w:val="20"/>
          <w:u w:val="single"/>
        </w:rPr>
        <w:t>Holders</w:t>
      </w:r>
      <w:r>
        <w:rPr>
          <w:rFonts w:ascii="Times New Roman;Times;Serif" w:hAnsi="Times New Roman;Times;Serif"/>
          <w:sz w:val="20"/>
        </w:rPr>
        <w:t>” means the holder or holders, as the case may be, from time to time of Registrable Securities.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Indemnified Party</w:t>
      </w:r>
      <w:r>
        <w:rPr>
          <w:rFonts w:ascii="Times New Roman;Times;Serif" w:hAnsi="Times New Roman;Times;Serif"/>
          <w:sz w:val="20"/>
        </w:rPr>
        <w:t>” shall have the meaning set forth in Section 5(c).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Indemnifying Party</w:t>
      </w:r>
      <w:r>
        <w:rPr>
          <w:rFonts w:ascii="Times New Roman;Times;Serif" w:hAnsi="Times New Roman;Times;Serif"/>
          <w:sz w:val="20"/>
        </w:rPr>
        <w:t>” shall have the meaning set forth in Section 5(c).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Initial Registration Statement</w:t>
      </w:r>
      <w:r>
        <w:rPr>
          <w:rFonts w:ascii="Times New Roman;Times;Serif" w:hAnsi="Times New Roman;Times;Serif"/>
          <w:sz w:val="20"/>
        </w:rPr>
        <w:t>” means the initial Registration Statement filed pursuant to this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Losses</w:t>
      </w:r>
      <w:r>
        <w:rPr>
          <w:rFonts w:ascii="Times New Roman;Times;Serif" w:hAnsi="Times New Roman;Times;Serif"/>
          <w:sz w:val="20"/>
        </w:rPr>
        <w:t>” shall have the meaning set forth in Section 5(a).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Plan of Distribution</w:t>
      </w:r>
      <w:r>
        <w:rPr>
          <w:rFonts w:ascii="Times New Roman;Times;Serif" w:hAnsi="Times New Roman;Times;Serif"/>
          <w:sz w:val="20"/>
        </w:rPr>
        <w:t>” shall have the meaning set forth in Section 2(a).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Prospectus</w:t>
      </w:r>
      <w:r>
        <w:rPr>
          <w:rFonts w:ascii="Times New Roman;Times;Serif" w:hAnsi="Times New Roman;Times;Serif"/>
          <w:sz w:val="20"/>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Registrable Securities</w:t>
      </w:r>
      <w:r>
        <w:rPr>
          <w:rFonts w:ascii="Times New Roman;Times;Serif" w:hAnsi="Times New Roman;Times;Serif"/>
          <w:sz w:val="20"/>
        </w:rPr>
        <w:t xml:space="preserve">” means, as of any date of determination, (a) all of the shares of Common Stock then issued and issuable upon conversion in full of the Preferred Stock (assuming on such date the shares of Preferred Stock are converted in full into Common Stock without regard to any conversion limitations therein), (b) all shares of Common Stock issued and issuable as dividends on the Preferred Stock assuming all dividend payments are made in shares of Common Stock and the Preferred Stock is held for at least three (3) years, (c) all Warrant Shares then issued and issuable upon exercise of the Warrants (assuming on such date the Warrants are exercised in full without regard to any exercise limitations therein), (d) any additional shares of Common Stock issued and issuable in connection with any anti-dilution and adjustment provisions in the Preferred Stock and Warrants (in each case, without giving effect to any limitations on conversion set forth in the Certificate of Designation or limitations on exercise set forth in the Warrants) and (e) any securities issued or then issuable upon any stock split, dividend or other distribution, recapitalization or similar event with respect to the foregoing; </w:t>
      </w:r>
      <w:r>
        <w:rPr>
          <w:rFonts w:ascii="Times New Roman;Times;Serif" w:hAnsi="Times New Roman;Times;Serif"/>
          <w:sz w:val="20"/>
          <w:u w:val="single"/>
        </w:rPr>
        <w:t>provided, however</w:t>
      </w:r>
      <w:r>
        <w:rPr>
          <w:rFonts w:ascii="Times New Roman;Times;Serif" w:hAnsi="Times New Roman;Times;Serif"/>
          <w:sz w:val="20"/>
        </w:rPr>
        <w:t>, that any such Registrable Securities shall cease to be Registrable Securities (and the Company shall not be required to maintain the effectiveness of any, or file another, Registration Statement hereunder with respect thereto) for so long as (i) a Registration Statement with respect to the sale of such Registrable Securities is declared effective by the Commission under the Securities Act and such Registrable Securities have been disposed of by the Holder in accordance with such effective Registration Statement, (ii) such Registrable Securities have been previously sold in accordance with Rule 144, or (iii) such Registrable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and all Warrants are exercised by “cashless exercise” as provided in Section 2(c) of each of the Warrants), as reasonably determined by the Company, upon the advice of counsel to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 </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Registration Statement</w:t>
      </w:r>
      <w:r>
        <w:rPr>
          <w:rFonts w:ascii="Times New Roman;Times;Serif" w:hAnsi="Times New Roman;Times;Serif"/>
          <w:sz w:val="20"/>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Rule 415</w:t>
      </w:r>
      <w:r>
        <w:rPr>
          <w:rFonts w:ascii="Times New Roman;Times;Serif" w:hAnsi="Times New Roman;Times;Serif"/>
          <w:sz w:val="20"/>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Rule 424</w:t>
      </w:r>
      <w:r>
        <w:rPr>
          <w:rFonts w:ascii="Times New Roman;Times;Serif" w:hAnsi="Times New Roman;Times;Serif"/>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Selling Stockholder Questionnaire</w:t>
      </w:r>
      <w:r>
        <w:rPr>
          <w:rFonts w:ascii="Times New Roman;Times;Serif" w:hAnsi="Times New Roman;Times;Serif"/>
          <w:sz w:val="20"/>
        </w:rPr>
        <w:t>” shall have the meaning set forth in Section 3(a).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SEC Guidance</w:t>
      </w:r>
      <w:r>
        <w:rPr>
          <w:rFonts w:ascii="Times New Roman;Times;Serif" w:hAnsi="Times New Roman;Times;Serif"/>
          <w:sz w:val="20"/>
        </w:rPr>
        <w:t>” means (i) any publicly-available written or oral guidance of the Commission staff, or any comments, requirements or requests of the Commission staff and (ii) the Securities Act.</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2.        </w:t>
      </w:r>
      <w:r>
        <w:rPr>
          <w:rFonts w:ascii="Times New Roman;Times;Serif" w:hAnsi="Times New Roman;Times;Serif"/>
          <w:sz w:val="20"/>
          <w:u w:val="single"/>
        </w:rPr>
        <w:t>Shelf Registration</w:t>
      </w:r>
      <w:r>
        <w:rPr>
          <w:rFonts w:ascii="Times New Roman;Times;Serif" w:hAnsi="Times New Roman;Times;Serif"/>
          <w:sz w:val="20"/>
        </w:rPr>
        <w: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Form S-1 or another appropriate form in accordance herewith, subject to the provisions of Section 2(e)) and shall contain (unless otherwise directed by at least 85% in interest of the Holders) substantially the “</w:t>
      </w:r>
      <w:r>
        <w:rPr>
          <w:rFonts w:ascii="Times New Roman;Times;Serif" w:hAnsi="Times New Roman;Times;Serif"/>
          <w:sz w:val="20"/>
          <w:u w:val="single"/>
        </w:rPr>
        <w:t>Plan of Distribution</w:t>
      </w:r>
      <w:r>
        <w:rPr>
          <w:rFonts w:ascii="Times New Roman;Times;Serif" w:hAnsi="Times New Roman;Times;Serif"/>
          <w:sz w:val="20"/>
        </w:rPr>
        <w:t xml:space="preserve">” attached hereto as </w:t>
      </w:r>
      <w:r>
        <w:rPr>
          <w:rFonts w:ascii="Times New Roman;Times;Serif" w:hAnsi="Times New Roman;Times;Serif"/>
          <w:sz w:val="20"/>
          <w:u w:val="single"/>
        </w:rPr>
        <w:t>Annex A</w:t>
      </w:r>
      <w:r>
        <w:rPr>
          <w:rFonts w:ascii="Times New Roman;Times;Serif" w:hAnsi="Times New Roman;Times;Serif"/>
          <w:sz w:val="20"/>
        </w:rPr>
        <w:t xml:space="preserve"> and substantially the “</w:t>
      </w:r>
      <w:r>
        <w:rPr>
          <w:rFonts w:ascii="Times New Roman;Times;Serif" w:hAnsi="Times New Roman;Times;Serif"/>
          <w:sz w:val="20"/>
          <w:u w:val="single"/>
        </w:rPr>
        <w:t>Selling Stockholder</w:t>
      </w:r>
      <w:r>
        <w:rPr>
          <w:rFonts w:ascii="Times New Roman;Times;Serif" w:hAnsi="Times New Roman;Times;Serif"/>
          <w:sz w:val="20"/>
        </w:rPr>
        <w:t xml:space="preserve">” section attached hereto as </w:t>
      </w:r>
      <w:r>
        <w:rPr>
          <w:rFonts w:ascii="Times New Roman;Times;Serif" w:hAnsi="Times New Roman;Times;Serif"/>
          <w:sz w:val="20"/>
          <w:u w:val="single"/>
        </w:rPr>
        <w:t>Annex B</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Holder shall be required to be named as an “underwriter” without such Holder’s express prior written consent. Subject to the terms of this Agreement, the Company shall use its commercially reasonable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commercially reasonable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Times;Serif" w:hAnsi="Times New Roman;Times;Serif"/>
          <w:sz w:val="20"/>
          <w:u w:val="single"/>
        </w:rPr>
        <w:t>Effectiveness Period</w:t>
      </w:r>
      <w:r>
        <w:rPr>
          <w:rFonts w:ascii="Times New Roman;Times;Serif" w:hAnsi="Times New Roman;Times;Serif"/>
          <w:sz w:val="20"/>
        </w:rPr>
        <w:t>”). The Company shall telephonically request effectiveness of a Registration Statement as of 5:00 p.m. (New York City time) on a Trading Day. The Company shall immediately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if not eligible for Form S-3, on Form S-1 or such other form available to register for resale the Registrable Securities as a secondary offering, subject to the provisions of Section 2(e); with respect to filing on Form S-3, Form S-1 or other appropriate form, and subject to the provisions of Section 2(d) with respect to the payment of liquidated damages;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 </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color w:val="000000"/>
          <w:sz w:val="20"/>
        </w:rPr>
        <w:t xml:space="preserve">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 </w:t>
      </w:r>
    </w:p>
    <w:p>
      <w:pPr>
        <w:pStyle w:val="TextBody"/>
        <w:bidi w:val="0"/>
        <w:jc w:val="both"/>
        <w:rPr/>
      </w:pPr>
      <w:r>
        <w:rPr/>
        <w:t> </w:t>
      </w:r>
    </w:p>
    <w:tbl>
      <w:tblPr>
        <w:tblW w:w="8928" w:type="dxa"/>
        <w:jc w:val="left"/>
        <w:tblInd w:w="0" w:type="dxa"/>
        <w:tblLayout w:type="fixed"/>
        <w:tblCellMar>
          <w:top w:w="0" w:type="dxa"/>
          <w:left w:w="0" w:type="dxa"/>
          <w:bottom w:w="0" w:type="dxa"/>
          <w:right w:w="0" w:type="dxa"/>
        </w:tblCellMar>
      </w:tblPr>
      <w:tblGrid>
        <w:gridCol w:w="38"/>
        <w:gridCol w:w="155"/>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First, the Company shall reduce or eliminate any securities to be included other than Registrable Securities;</w:t>
            </w:r>
          </w:p>
        </w:tc>
      </w:tr>
    </w:tbl>
    <w:p>
      <w:pPr>
        <w:pStyle w:val="TextBody"/>
        <w:bidi w:val="0"/>
        <w:ind w:left="108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Second, the Company shall reduce Registrable Securities represented by Warrant Shares (applied, in the case that some Warrant Shares may be registered, to the Holders on a pro rata basis based on the total number of unregistered Warrant Shares held by such Holders); and </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Third, the Company shall reduce Registrable Securities represented by Conversion Shares (applied, in the case that some Conversion Shares may be registered, to the Holders on a pro rata basis based on the total number of unregistered Conversion Shares held by such Holders). </w:t>
            </w:r>
          </w:p>
        </w:tc>
      </w:tr>
    </w:tbl>
    <w:p>
      <w:pPr>
        <w:pStyle w:val="TextBody"/>
        <w:bidi w:val="0"/>
        <w:jc w:val="both"/>
        <w:rPr/>
      </w:pPr>
      <w:r>
        <w:rPr/>
        <w:t> </w:t>
      </w:r>
    </w:p>
    <w:p>
      <w:pPr>
        <w:pStyle w:val="TextBody"/>
        <w:bidi w:val="0"/>
        <w:ind w:left="720" w:right="0" w:hanging="0"/>
        <w:jc w:val="both"/>
        <w:rPr/>
      </w:pPr>
      <w:r>
        <w:rPr>
          <w:rFonts w:ascii="Times New Roman;Times;Serif" w:hAnsi="Times New Roman;Times;Serif"/>
          <w:color w:val="000000"/>
          <w:sz w:val="20"/>
        </w:rPr>
        <w:t xml:space="preserve">In the event of a cutback hereunder, the Company shall give the Holder at least three (3) Trading Days’ prior written notice along with the calculations as to such Holder’s allotment. In the event the Company amends the Initial Registration Statement in accordance with the foregoing, the Company will use its </w:t>
      </w:r>
      <w:r>
        <w:rPr>
          <w:rFonts w:ascii="Times New Roman;Times;Serif" w:hAnsi="Times New Roman;Times;Serif"/>
          <w:sz w:val="20"/>
        </w:rPr>
        <w:t xml:space="preserve">commercially reasonable </w:t>
      </w:r>
      <w:r>
        <w:rPr>
          <w:rFonts w:ascii="Times New Roman;Times;Serif" w:hAnsi="Times New Roman;Times;Serif"/>
          <w:color w:val="000000"/>
          <w:sz w:val="20"/>
        </w:rPr>
        <w:t>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(d)                If: (i) the Initial Registration Statement is not filed on or prior to its Filing Date (if the Company files the Initial Registration Statement without affording the Holders the opportunity to review and comment on the same as required by Section 3(a) herein or the Company subsequently withdraws the filing of the Registration Statement, the Company shall be deemed to have not satisfied this clause (i) as of the Filing Date), or (ii) the Company fails to file with the Commission a request for acceleration of effectiveness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(provided that, if the Registration Statement does not allow for the resale of Registrable Securities at prevailing market prices (i.e., only allows for fixed price sales), the Company shall have been deemed to have not satisfied this clause),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twenty (20) consecutive calendar days or more than an aggregate of thirty (30) calendar days (which need not be consecutive calendar days) during any twelve (12)-month period (any such failure or breach being referred to as an “</w:t>
      </w:r>
      <w:r>
        <w:rPr>
          <w:rFonts w:ascii="Times New Roman;Times;Serif" w:hAnsi="Times New Roman;Times;Serif"/>
          <w:sz w:val="20"/>
          <w:u w:val="single"/>
        </w:rPr>
        <w:t>Event</w:t>
      </w:r>
      <w:r>
        <w:rPr>
          <w:rFonts w:ascii="Times New Roman;Times;Serif" w:hAnsi="Times New Roman;Times;Serif"/>
          <w:sz w:val="20"/>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Times New Roman;Times;Serif" w:hAnsi="Times New Roman;Times;Serif"/>
          <w:sz w:val="20"/>
          <w:u w:val="single"/>
        </w:rPr>
        <w:t>Event Date</w:t>
      </w:r>
      <w:r>
        <w:rPr>
          <w:rFonts w:ascii="Times New Roman;Times;Serif" w:hAnsi="Times New Roman;Times;Serif"/>
          <w:sz w:val="20"/>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1.0% multiplied by the aggregate Subscription Amount paid by such Holder pursuant to the Purchase Agreement. The parties agree that the maximum aggregate liquidated damages payable to a Holder under this Agreement shall be 5.0% of the aggregate Subscription Amount paid by such Holder pursuant to the Purchase Agreement. If the Company fails to pay any partial liquidated damages pursuant to this Section in full within seven (7) days after the date payable, the Company will pay interest thereon at a rate of 12.0%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If Form S-3 is not available for the registration of the resale of Registrable Securities hereunder, the Company shall (i) register the resale of the Registrable Securities on Form S-1 or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pStyle w:val="TextBody"/>
        <w:bidi w:val="0"/>
        <w:ind w:left="720" w:right="0" w:hanging="0"/>
        <w:jc w:val="left"/>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(f)                 Notwithstanding anything to the contrary contained herein, in no event shall the Company be permitted to name any Holder or affiliate of a Holder as any “underwriter” without the prior written consent of such Holder.</w:t>
      </w:r>
    </w:p>
    <w:p>
      <w:pPr>
        <w:pStyle w:val="TextBody"/>
        <w:bidi w:val="0"/>
        <w:ind w:left="720" w:right="0" w:hanging="0"/>
        <w:jc w:val="both"/>
        <w:rPr/>
      </w:pPr>
      <w:r>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 </w:t>
      </w:r>
    </w:p>
    <w:p>
      <w:pPr>
        <w:pStyle w:val="TextBody"/>
        <w:bidi w:val="0"/>
        <w:spacing w:before="0" w:after="0"/>
        <w:ind w:left="0" w:right="0" w:hanging="0"/>
        <w:jc w:val="left"/>
        <w:rPr/>
      </w:pPr>
      <w:r>
        <w:rPr/>
        <w:t> </w:t>
      </w:r>
    </w:p>
    <w:p>
      <w:pPr>
        <w:pStyle w:val="TextBody"/>
        <w:bidi w:val="0"/>
        <w:ind w:left="720" w:right="0" w:hanging="0"/>
        <w:jc w:val="both"/>
        <w:rPr>
          <w:rFonts w:ascii="Times New Roman;Times;Serif" w:hAnsi="Times New Roman;Times;Serif"/>
          <w:sz w:val="20"/>
        </w:rPr>
      </w:pPr>
      <w:r>
        <w:rPr>
          <w:rFonts w:ascii="Times New Roman;Times;Serif" w:hAnsi="Times New Roman;Times;Serif"/>
          <w:sz w:val="20"/>
        </w:rPr>
        <w:t>3.        </w:t>
      </w:r>
      <w:r>
        <w:rPr>
          <w:rFonts w:ascii="Times New Roman;Times;Serif" w:hAnsi="Times New Roman;Times;Serif"/>
          <w:sz w:val="20"/>
          <w:u w:val="single"/>
        </w:rPr>
        <w:t>Registration Procedures</w:t>
      </w:r>
      <w:r>
        <w:rPr>
          <w:rFonts w:ascii="Times New Roman;Times;Serif" w:hAnsi="Times New Roman;Times;Serif"/>
          <w:sz w:val="20"/>
        </w:rPr>
        <w:t>.</w:t>
      </w:r>
    </w:p>
    <w:p>
      <w:pPr>
        <w:pStyle w:val="TextBody"/>
        <w:bidi w:val="0"/>
        <w:jc w:val="both"/>
        <w:rPr/>
      </w:pPr>
      <w:r>
        <w:rPr/>
        <w:t> </w:t>
      </w:r>
    </w:p>
    <w:p>
      <w:pPr>
        <w:pStyle w:val="TextBody"/>
        <w:bidi w:val="0"/>
        <w:ind w:left="0" w:right="0" w:firstLine="1080"/>
        <w:jc w:val="both"/>
        <w:rPr>
          <w:rFonts w:ascii="Times New Roman;Times;Serif" w:hAnsi="Times New Roman;Times;Serif"/>
          <w:sz w:val="20"/>
        </w:rPr>
      </w:pPr>
      <w:r>
        <w:rPr>
          <w:rFonts w:ascii="Times New Roman;Times;Serif" w:hAnsi="Times New Roman;Times;Serif"/>
          <w:sz w:val="20"/>
        </w:rPr>
        <w:t>In connection with the Company’s registration obligations hereunder, the Company shall:</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Not less than two (2) Trading Days prior to the filing of each Registration Statement and not less than two (2) Trading Days prior to the filing of any related Prospectus or any amendment or supplement thereto (including any document that would be incorporated or deemed to be incorporated therein by reference other than Annual Reports on Form 10-K, Quarterly Reports on Form 10-Q, Current Reports on Form 8-K, and any similar or successor reports), the Company shall (i) furnish to each Holder copies of all such documents proposed to be filed, which documents (other than those incorporated or deemed to be incorporated by reference) will be subject to the reasonable review of such Holders, and (ii) cause its officers and directors, counsel and independent registered public accountants to respond to such inquiries as shall be reasonably necessary in the reasonable opinion of respective counsel to each Holder, to conduct a reasonable investigation within the meaning of the Securities Act. The Company shall afford each Holder a reasonable opportunity to review and provide comments on such documents prior to filing. The Company shall consider in good faith any comments timely provided by the Holders, including legal counsel of any Holder, with respect to the accuracy of information regarding such Holders or the plan of distribution.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two (2) Trading Days after the Holders have been so furnished copies of any related Prospectus or amendments or supplements thereto. Each Holder agrees to furnish to the Company a completed questionnaire in the form attached to this Agreement as </w:t>
      </w:r>
      <w:r>
        <w:rPr>
          <w:rFonts w:ascii="Times New Roman;Times;Serif" w:hAnsi="Times New Roman;Times;Serif"/>
          <w:sz w:val="20"/>
          <w:u w:val="single"/>
        </w:rPr>
        <w:t>Annex C</w:t>
      </w:r>
      <w:r>
        <w:rPr>
          <w:rFonts w:ascii="Times New Roman;Times;Serif" w:hAnsi="Times New Roman;Times;Serif"/>
          <w:sz w:val="20"/>
        </w:rPr>
        <w:t xml:space="preserve"> (a “</w:t>
      </w:r>
      <w:r>
        <w:rPr>
          <w:rFonts w:ascii="Times New Roman;Times;Serif" w:hAnsi="Times New Roman;Times;Serif"/>
          <w:sz w:val="20"/>
          <w:u w:val="single"/>
        </w:rPr>
        <w:t>Selling Stockholder Questionnaire</w:t>
      </w:r>
      <w:r>
        <w:rPr>
          <w:rFonts w:ascii="Times New Roman;Times;Serif" w:hAnsi="Times New Roman;Times;Serif"/>
          <w:sz w:val="20"/>
        </w:rPr>
        <w:t>”) on a date that is not less than two (2) Trading Days prior to the Filing Date or by the end of the fourth (4</w:t>
      </w:r>
      <w:r>
        <w:rPr>
          <w:rFonts w:ascii="Times New Roman;Times;Serif" w:hAnsi="Times New Roman;Times;Serif"/>
          <w:position w:val="7"/>
          <w:sz w:val="16"/>
          <w:sz w:val="20"/>
        </w:rPr>
        <w:t>th</w:t>
      </w:r>
      <w:r>
        <w:rPr>
          <w:rFonts w:ascii="Times New Roman;Times;Serif" w:hAnsi="Times New Roman;Times;Serif"/>
          <w:sz w:val="20"/>
        </w:rPr>
        <w:t>) Trading Day following the date on which such Holder receives draft materials in accordance with this Section.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(b)                (i)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If during the Effectiveness Period, the number of Registrable Securities at any time exceeds 100% of the number of shares of Common Stock then registered in a Registration Statement, by way of example only, if any Holder exercises the Additional Investment Right to purchase additional shares of Preferred Stock, then the Company shall file as soon as reasonably practicable, but in any case prior to the applicable Filing Date, an additional Registration Statement covering the resale by the Holders of not less than the number of such Registrable Securities.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F-6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Notify the Holders of Registrable Securities to be sold (which notice shall, pursuant to clauses (iii) through (v)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and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no event shall any such notice contain any information which would constitute material, non-public information regarding the Company or any of its Subsidiaries.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(f)                 Furnish to each Holder, without charge, at least one (1)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(g)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(h)                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F-7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(i)                 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pStyle w:val="TextBody"/>
        <w:bidi w:val="0"/>
        <w:jc w:val="both"/>
        <w:rPr/>
      </w:pPr>
      <w:r>
        <w:rPr/>
        <w:t> </w:t>
      </w:r>
    </w:p>
    <w:p>
      <w:pPr>
        <w:pStyle w:val="TextBody"/>
        <w:bidi w:val="0"/>
        <w:ind w:left="720" w:right="0" w:firstLine="720"/>
        <w:jc w:val="both"/>
        <w:rPr/>
      </w:pPr>
      <w:r>
        <w:rPr>
          <w:rFonts w:ascii="Times New Roman;Times;Serif" w:hAnsi="Times New Roman;Times;Serif"/>
          <w:sz w:val="20"/>
        </w:rPr>
        <w:t xml:space="preserve">(j)                 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w:t>
      </w:r>
      <w:r>
        <w:rPr>
          <w:rFonts w:ascii="Times New Roman;Times;Serif" w:hAnsi="Times New Roman;Times;Serif"/>
          <w:color w:val="000000"/>
          <w:spacing w:val="0"/>
          <w:sz w:val="20"/>
        </w:rPr>
        <w:t xml:space="preserve">If the Company notifies the Holders in accordance with clauses (iii) through (vi) of Section 3(d) above to suspend the use of any Prospectus until the requisite changes to such Prospectus have been made, then the Holders shall suspend use of such Prospectus. The Company will use its </w:t>
      </w:r>
      <w:r>
        <w:rPr>
          <w:rFonts w:ascii="Times New Roman;Times;Serif" w:hAnsi="Times New Roman;Times;Serif"/>
          <w:sz w:val="20"/>
        </w:rPr>
        <w:t xml:space="preserve">commercially reasonable </w:t>
      </w:r>
      <w:r>
        <w:rPr>
          <w:rFonts w:ascii="Times New Roman;Times;Serif" w:hAnsi="Times New Roman;Times;Serif"/>
          <w:color w:val="000000"/>
          <w:spacing w:val="0"/>
          <w:sz w:val="20"/>
        </w:rPr>
        <w:t>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30 calendar days (which need not be consecutive days) in any 12-month period</w:t>
      </w:r>
      <w:r>
        <w:rPr>
          <w:rFonts w:ascii="Times New Roman;Times;Serif" w:hAnsi="Times New Roman;Times;Serif"/>
          <w:color w:val="000000"/>
          <w:sz w:val="20"/>
        </w:rPr>
        <w: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(k)                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(l)                 The Company shall use its commercially reasonable efforts to maintain eligibility for use of Form S-3 (or any successor form thereto) for the registration of the resale of Registrable Securities.</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(m)              The Company may require each selling Holder to furnish to the Company a certified statement as to the number of shares of Common Stock beneficially owned by such Holder and, if required by the Commission in accordance with SEC Guidance,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F-8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4.        </w:t>
      </w:r>
      <w:r>
        <w:rPr>
          <w:rFonts w:ascii="Times New Roman;Times;Serif" w:hAnsi="Times New Roman;Times;Serif"/>
          <w:sz w:val="20"/>
          <w:u w:val="single"/>
        </w:rPr>
        <w:t>Registration Expenses</w:t>
      </w:r>
      <w:r>
        <w:rPr>
          <w:rFonts w:ascii="Times New Roman;Times;Serif" w:hAnsi="Times New Roman;Times;Serif"/>
          <w:sz w:val="20"/>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to be purchased at the sole discretion of the Company,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5.        </w:t>
      </w:r>
      <w:r>
        <w:rPr>
          <w:rFonts w:ascii="Times New Roman;Times;Serif" w:hAnsi="Times New Roman;Times;Serif"/>
          <w:sz w:val="20"/>
          <w:u w:val="single"/>
        </w:rPr>
        <w:t>Indemnification</w:t>
      </w:r>
      <w:r>
        <w:rPr>
          <w:rFonts w:ascii="Times New Roman;Times;Serif" w:hAnsi="Times New Roman;Times;Serif"/>
          <w:sz w:val="20"/>
        </w:rPr>
        <w: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Indemnification by the Company</w:t>
      </w:r>
      <w:r>
        <w:rPr>
          <w:rFonts w:ascii="Times New Roman;Times;Serif" w:hAnsi="Times New Roman;Times;Serif"/>
          <w:sz w:val="20"/>
        </w:rPr>
        <w:t>. The Company shall, notwithstanding any termination of this Agreement, indemnify and hold harmless each Holder, the officers, directors, members, partners, agents, brokers,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Times;Serif" w:hAnsi="Times New Roman;Times;Serif"/>
          <w:sz w:val="20"/>
          <w:u w:val="single"/>
        </w:rPr>
        <w:t>Losses</w:t>
      </w:r>
      <w:r>
        <w:rPr>
          <w:rFonts w:ascii="Times New Roman;Times;Serif" w:hAnsi="Times New Roman;Times;Serif"/>
          <w:sz w:val="20"/>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for use therein, or to the extent that such information relates to such Holder or such Holder’s information provided in the Selling Stockholder Questionnaire or proposed method of distribution of Registrable Securities and was reviewed and approved in writing by such Holder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F-9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Indemnification by Holders</w:t>
      </w:r>
      <w:r>
        <w:rPr>
          <w:rFonts w:ascii="Times New Roman;Times;Serif" w:hAnsi="Times New Roman;Times;Serif"/>
          <w:sz w:val="20"/>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approved in writing by such Holder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Conduct of Indemnification Proceedings</w:t>
      </w:r>
      <w:r>
        <w:rPr>
          <w:rFonts w:ascii="Times New Roman;Times;Serif" w:hAnsi="Times New Roman;Times;Serif"/>
          <w:sz w:val="20"/>
        </w:rPr>
        <w:t>. If any Proceeding shall be brought or asserted against any Person entitled to indemnity hereunder (an “</w:t>
      </w:r>
      <w:r>
        <w:rPr>
          <w:rFonts w:ascii="Times New Roman;Times;Serif" w:hAnsi="Times New Roman;Times;Serif"/>
          <w:sz w:val="20"/>
          <w:u w:val="single"/>
        </w:rPr>
        <w:t>Indemnified Party</w:t>
      </w:r>
      <w:r>
        <w:rPr>
          <w:rFonts w:ascii="Times New Roman;Times;Serif" w:hAnsi="Times New Roman;Times;Serif"/>
          <w:sz w:val="20"/>
        </w:rPr>
        <w:t>”), such Indemnified Party shall promptly notify the Person from whom indemnity is sought (the “</w:t>
      </w:r>
      <w:r>
        <w:rPr>
          <w:rFonts w:ascii="Times New Roman;Times;Serif" w:hAnsi="Times New Roman;Times;Serif"/>
          <w:sz w:val="20"/>
          <w:u w:val="single"/>
        </w:rPr>
        <w:t>Indemnifying Party</w:t>
      </w:r>
      <w:r>
        <w:rPr>
          <w:rFonts w:ascii="Times New Roman;Times;Serif" w:hAnsi="Times New Roman;Times;Serif"/>
          <w:sz w:val="20"/>
        </w:rPr>
        <w:t>”) in writing, and the Indemnifying Party shall have the right to assume the defense thereof, including the employment of counsel reasonably satisfactory to the Indemnified Party and the payment of all reasonable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bidi w:val="0"/>
        <w:jc w:val="both"/>
        <w:rPr/>
      </w:pPr>
      <w:r>
        <w:rPr/>
        <w:t> </w:t>
      </w:r>
    </w:p>
    <w:p>
      <w:pPr>
        <w:pStyle w:val="TextBody"/>
        <w:bidi w:val="0"/>
        <w:ind w:left="720" w:right="0" w:firstLine="1080"/>
        <w:jc w:val="both"/>
        <w:rPr>
          <w:rFonts w:ascii="Times New Roman;Times;Serif" w:hAnsi="Times New Roman;Times;Serif"/>
          <w:sz w:val="20"/>
        </w:rPr>
      </w:pPr>
      <w:r>
        <w:rPr>
          <w:rFonts w:ascii="Times New Roman;Times;Serif" w:hAnsi="Times New Roman;Times;Serif"/>
          <w:sz w:val="20"/>
        </w:rPr>
        <w:t>An Indemnified Party shall have the right to employ one (1)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bidi w:val="0"/>
        <w:jc w:val="both"/>
        <w:rPr/>
      </w:pPr>
      <w:r>
        <w:rPr/>
        <w:t> </w:t>
      </w:r>
    </w:p>
    <w:p>
      <w:pPr>
        <w:pStyle w:val="TextBody"/>
        <w:bidi w:val="0"/>
        <w:ind w:left="720" w:right="0" w:firstLine="1080"/>
        <w:jc w:val="both"/>
        <w:rPr>
          <w:rFonts w:ascii="Times New Roman;Times;Serif" w:hAnsi="Times New Roman;Times;Serif"/>
          <w:sz w:val="20"/>
        </w:rPr>
      </w:pPr>
      <w:r>
        <w:rPr>
          <w:rFonts w:ascii="Times New Roman;Times;Serif" w:hAnsi="Times New Roman;Times;Serif"/>
          <w:sz w:val="20"/>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(10) Trading Days after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Contribution</w:t>
      </w:r>
      <w:r>
        <w:rPr>
          <w:rFonts w:ascii="Times New Roman;Times;Serif" w:hAnsi="Times New Roman;Times;Serif"/>
          <w:sz w:val="20"/>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F-10 </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1080"/>
        <w:jc w:val="both"/>
        <w:rPr>
          <w:rFonts w:ascii="Times New Roman;Times;Serif" w:hAnsi="Times New Roman;Times;Serif"/>
          <w:sz w:val="20"/>
        </w:rPr>
      </w:pPr>
      <w:r>
        <w:rPr>
          <w:rFonts w:ascii="Times New Roman;Times;Serif" w:hAnsi="Times New Roman;Times;Serif"/>
          <w:sz w:val="20"/>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The indemnity and contribution agreements contained in this Section 5 are in addition to any liability that the Indemnifying Parties may have to the Indemnified Parties.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6.        </w:t>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Remedies</w:t>
      </w:r>
      <w:r>
        <w:rPr>
          <w:rFonts w:ascii="Times New Roman;Times;Serif" w:hAnsi="Times New Roman;Times;Serif"/>
          <w:sz w:val="20"/>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No Piggyback on Registrations</w:t>
      </w:r>
      <w:r>
        <w:rPr>
          <w:rFonts w:ascii="Times New Roman;Times;Serif" w:hAnsi="Times New Roman;Times;Serif"/>
          <w:sz w:val="20"/>
        </w:rPr>
        <w:t xml:space="preserve">. Neither the Company nor any of its security holders (other than the Holders in such capacity pursuant hereto) may include securities of the Company in any Registration Statements other than the Registrable Securities. </w:t>
      </w:r>
    </w:p>
    <w:p>
      <w:pPr>
        <w:pStyle w:val="TextBody"/>
        <w:bidi w:val="0"/>
        <w:ind w:left="720" w:right="0" w:hanging="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Discontinued Disposition</w:t>
      </w:r>
      <w:r>
        <w:rPr>
          <w:rFonts w:ascii="Times New Roman;Times;Serif" w:hAnsi="Times New Roman;Times;Serif"/>
          <w:sz w:val="20"/>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Times;Serif" w:hAnsi="Times New Roman;Times;Serif"/>
          <w:sz w:val="20"/>
          <w:u w:val="single"/>
        </w:rPr>
        <w:t>Advice</w:t>
      </w:r>
      <w:r>
        <w:rPr>
          <w:rFonts w:ascii="Times New Roman;Times;Serif" w:hAnsi="Times New Roman;Times;Serif"/>
          <w:sz w:val="20"/>
        </w:rPr>
        <w:t>”) by the Company that the use of the applicable Prospectus (as it may have been supplemented or amended) may be resumed. The Company will use its commercially reasonable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F-11 </w:t>
      </w:r>
    </w:p>
    <w:p>
      <w:pPr>
        <w:pStyle w:val="TextBody"/>
        <w:bidi w:val="0"/>
        <w:spacing w:before="0" w:after="0"/>
        <w:ind w:left="0" w:right="0" w:hanging="0"/>
        <w:jc w:val="left"/>
        <w:rPr/>
      </w:pPr>
      <w:r>
        <w:rPr/>
        <w:t> </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Amendments and Waivers</w:t>
      </w:r>
      <w:r>
        <w:rPr>
          <w:rFonts w:ascii="Times New Roman;Times;Serif" w:hAnsi="Times New Roman;Times;Serif"/>
          <w:sz w:val="20"/>
        </w:rPr>
        <w:t>. Any amendments to or waivers with respect to this Agreement shall be made in accordance with Section 5.5 of the Purchase Agreement. Notwithstanding the foregoing, any amendment or waiver on behalf of the Company shall require the approval of an executive officer of the Company other than Joseph Hammer.</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Notices</w:t>
      </w:r>
      <w:r>
        <w:rPr>
          <w:rFonts w:ascii="Times New Roman;Times;Serif" w:hAnsi="Times New Roman;Times;Serif"/>
          <w:sz w:val="20"/>
        </w:rPr>
        <w:t xml:space="preserve">. Any and all notices or other communications or deliveries required or permitted to be provided hereunder shall be delivered as set forth in the Purchase Agreement. </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Successors and Assigns</w:t>
      </w:r>
      <w:r>
        <w:rPr>
          <w:rFonts w:ascii="Times New Roman;Times;Serif" w:hAnsi="Times New Roman;Times;Serif"/>
          <w:sz w:val="20"/>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No Inconsistent Agreements</w:t>
      </w:r>
      <w:r>
        <w:rPr>
          <w:rFonts w:ascii="Times New Roman;Times;Serif" w:hAnsi="Times New Roman;Times;Serif"/>
          <w:sz w:val="20"/>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on </w:t>
      </w:r>
      <w:r>
        <w:rPr>
          <w:rFonts w:ascii="Times New Roman;Times;Serif" w:hAnsi="Times New Roman;Times;Serif"/>
          <w:sz w:val="20"/>
          <w:u w:val="single"/>
        </w:rPr>
        <w:t>Schedule 6(g)</w:t>
      </w:r>
      <w:r>
        <w:rPr>
          <w:rFonts w:ascii="Times New Roman;Times;Serif" w:hAnsi="Times New Roman;Times;Serif"/>
          <w:sz w:val="20"/>
        </w:rPr>
        <w:t>, neither the Company nor any of its Subsidiaries has previously entered into any agreement granting any registration rights with respect to any of its securities to any Person.</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Execution and Counterparts</w:t>
      </w:r>
      <w:r>
        <w:rPr>
          <w:rFonts w:ascii="Times New Roman;Times;Serif" w:hAnsi="Times New Roman;Times;Serif"/>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Governing Law</w:t>
      </w:r>
      <w:r>
        <w:rPr>
          <w:rFonts w:ascii="Times New Roman;Times;Serif" w:hAnsi="Times New Roman;Times;Serif"/>
          <w:sz w:val="20"/>
        </w:rPr>
        <w:t>. All questions concerning the construction, validity, enforcement and interpretation of this Agreement shall be determined in accordance with the provisions of the Purchase Agreement.</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Cumulative Remedies</w:t>
      </w:r>
      <w:r>
        <w:rPr>
          <w:rFonts w:ascii="Times New Roman;Times;Serif" w:hAnsi="Times New Roman;Times;Serif"/>
          <w:sz w:val="20"/>
        </w:rPr>
        <w:t>. The remedies provided herein are cumulative and not exclusive of any other remedies provided by law.</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(k)                 </w:t>
      </w:r>
      <w:r>
        <w:rPr>
          <w:rFonts w:ascii="Times New Roman;Times;Serif" w:hAnsi="Times New Roman;Times;Serif"/>
          <w:sz w:val="20"/>
          <w:u w:val="single"/>
        </w:rPr>
        <w:t>Severability</w:t>
      </w:r>
      <w:r>
        <w:rPr>
          <w:rFonts w:ascii="Times New Roman;Times;Serif" w:hAnsi="Times New Roman;Times;Serif"/>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F-12 </w:t>
      </w:r>
    </w:p>
    <w:p>
      <w:pPr>
        <w:pStyle w:val="TextBody"/>
        <w:bidi w:val="0"/>
        <w:spacing w:before="0" w:after="0"/>
        <w:ind w:left="0" w:right="0" w:hanging="0"/>
        <w:jc w:val="left"/>
        <w:rPr/>
      </w:pPr>
      <w:r>
        <w:rPr/>
        <w:t> </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(l)                 </w:t>
      </w:r>
      <w:r>
        <w:rPr>
          <w:rFonts w:ascii="Times New Roman;Times;Serif" w:hAnsi="Times New Roman;Times;Serif"/>
          <w:sz w:val="20"/>
          <w:u w:val="single"/>
        </w:rPr>
        <w:t>Headings</w:t>
      </w:r>
      <w:r>
        <w:rPr>
          <w:rFonts w:ascii="Times New Roman;Times;Serif" w:hAnsi="Times New Roman;Times;Serif"/>
          <w:sz w:val="20"/>
        </w:rPr>
        <w:t>. The headings in this Agreement are for convenience only, do not constitute a part of the Agreement and shall not be deemed to limit or affect any of the provisions hereof.</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(m)               </w:t>
      </w:r>
      <w:r>
        <w:rPr>
          <w:rFonts w:ascii="Times New Roman;Times;Serif" w:hAnsi="Times New Roman;Times;Serif"/>
          <w:sz w:val="20"/>
          <w:u w:val="single"/>
        </w:rPr>
        <w:t>Independent Nature of Holders’ Obligations and Rights</w:t>
      </w:r>
      <w:r>
        <w:rPr>
          <w:rFonts w:ascii="Times New Roman;Times;Serif" w:hAnsi="Times New Roman;Times;Serif"/>
          <w:sz w:val="20"/>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pStyle w:val="TextBody"/>
        <w:bidi w:val="0"/>
        <w:jc w:val="both"/>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120"/>
        <w:ind w:left="0" w:right="0" w:hanging="0"/>
        <w:jc w:val="left"/>
        <w:rPr/>
      </w:pPr>
      <w:r>
        <w:rPr/>
        <w:t> </w:t>
      </w:r>
    </w:p>
    <w:p>
      <w:pPr>
        <w:pStyle w:val="TextBody"/>
        <w:bidi w:val="0"/>
        <w:jc w:val="center"/>
        <w:rPr>
          <w:rFonts w:ascii="Times New Roman;Times;Serif" w:hAnsi="Times New Roman;Times;Serif"/>
          <w:b w:val="false"/>
          <w:i/>
          <w:sz w:val="20"/>
        </w:rPr>
      </w:pPr>
      <w:r>
        <w:rPr>
          <w:rFonts w:ascii="Times New Roman;Times;Serif" w:hAnsi="Times New Roman;Times;Serif"/>
          <w:b w:val="false"/>
          <w:i/>
          <w:sz w:val="20"/>
        </w:rPr>
        <w:t>(Signature Pages Follow)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F-13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0" w:right="0" w:firstLine="1080"/>
        <w:jc w:val="both"/>
        <w:rPr>
          <w:rFonts w:ascii="Times New Roman;Times;Serif" w:hAnsi="Times New Roman;Times;Serif"/>
          <w:sz w:val="20"/>
        </w:rPr>
      </w:pPr>
      <w:r>
        <w:rPr>
          <w:rFonts w:ascii="Times New Roman;Times;Serif" w:hAnsi="Times New Roman;Times;Serif"/>
          <w:sz w:val="20"/>
        </w:rPr>
        <w:t>IN WITNESS WHEREOF, the parties have executed this Registration Rights Agreement as of the date first written above.</w:t>
      </w:r>
    </w:p>
    <w:p>
      <w:pPr>
        <w:pStyle w:val="TextBody"/>
        <w:bidi w:val="0"/>
        <w:spacing w:before="0" w:after="283"/>
        <w:jc w:val="left"/>
        <w:rPr/>
      </w:pPr>
      <w:r>
        <w:rPr/>
        <w:t> </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jc w:val="left"/>
              <w:rPr>
                <w:rFonts w:ascii="Times New Roman;Times;Serif" w:hAnsi="Times New Roman;Times;Serif"/>
                <w:b/>
                <w:caps/>
                <w:sz w:val="20"/>
              </w:rPr>
            </w:pPr>
            <w:r>
              <w:rPr>
                <w:rFonts w:ascii="Times New Roman;Times;Serif" w:hAnsi="Times New Roman;Times;Serif"/>
                <w:b/>
                <w:caps/>
                <w:sz w:val="20"/>
              </w:rPr>
              <w:t>expion ENERGY, inc.</w:t>
            </w:r>
          </w:p>
          <w:p>
            <w:pPr>
              <w:pStyle w:val="TableContents"/>
              <w:bidi w:val="0"/>
              <w:jc w:val="left"/>
              <w:rPr/>
            </w:pPr>
            <w:r>
              <w:rPr/>
              <w:t> </w:t>
            </w:r>
          </w:p>
          <w:p>
            <w:pPr>
              <w:pStyle w:val="TableContents"/>
              <w:bidi w:val="0"/>
              <w:spacing w:before="0" w:after="283"/>
              <w:jc w:val="left"/>
              <w:rPr/>
            </w:pPr>
            <w:r>
              <w:rPr/>
              <w:t> </w:t>
            </w:r>
          </w:p>
        </w:tc>
      </w:tr>
      <w:tr>
        <w:trPr/>
        <w:tc>
          <w:tcPr>
            <w:tcW w:w="476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Name:</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Title:</w:t>
            </w:r>
          </w:p>
          <w:p>
            <w:pPr>
              <w:pStyle w:val="TableContents"/>
              <w:bidi w:val="0"/>
              <w:spacing w:before="0" w:after="283"/>
              <w:jc w:val="left"/>
              <w:rPr/>
            </w:pPr>
            <w:r>
              <w:rPr/>
              <w:t> </w:t>
            </w:r>
          </w:p>
        </w:tc>
      </w:tr>
    </w:tbl>
    <w:p>
      <w:pPr>
        <w:pStyle w:val="TextBody"/>
        <w:bidi w:val="0"/>
        <w:ind w:left="0" w:right="0" w:firstLine="2880"/>
        <w:jc w:val="left"/>
        <w:rPr/>
      </w:pPr>
      <w:r>
        <w:rPr/>
        <w:t> </w:t>
      </w:r>
    </w:p>
    <w:p>
      <w:pPr>
        <w:pStyle w:val="TextBody"/>
        <w:bidi w:val="0"/>
        <w:spacing w:before="0"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[SIGNATURE PAGE OF HOLDERS FOLLOWS]</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F-14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caps/>
          <w:sz w:val="20"/>
        </w:rPr>
      </w:pPr>
      <w:r>
        <w:rPr>
          <w:rFonts w:ascii="Times New Roman;Times;Serif" w:hAnsi="Times New Roman;Times;Serif"/>
          <w:caps/>
          <w:sz w:val="20"/>
        </w:rPr>
        <w:t>[SIGNATURE PAGE OF HOLDERS TO xpon RRA]</w:t>
      </w:r>
    </w:p>
    <w:p>
      <w:pPr>
        <w:pStyle w:val="TextBody"/>
        <w:bidi w:val="0"/>
        <w:jc w:val="center"/>
        <w:rPr>
          <w:caps/>
        </w:rPr>
      </w:pPr>
      <w:r>
        <w:rPr>
          <w:caps/>
        </w:rPr>
        <w:t> </w:t>
      </w:r>
    </w:p>
    <w:p>
      <w:pPr>
        <w:pStyle w:val="TextBody"/>
        <w:bidi w:val="0"/>
        <w:ind w:left="0" w:right="0" w:firstLine="720"/>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Name of Holder: __________________________</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i/>
          <w:sz w:val="20"/>
        </w:rPr>
        <w:t>Signature of Authorized Signatory of Holder</w:t>
      </w:r>
      <w:r>
        <w:rPr>
          <w:rFonts w:ascii="Times New Roman;Times;Serif" w:hAnsi="Times New Roman;Times;Serif"/>
          <w:sz w:val="20"/>
        </w:rPr>
        <w:t>: __________________________</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Name of Authorized Signatory: _________________________</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Title of Authorized Signatory: __________________________</w:t>
      </w:r>
    </w:p>
    <w:p>
      <w:pPr>
        <w:pStyle w:val="TextBody"/>
        <w:bidi w:val="0"/>
        <w:ind w:left="720" w:right="0" w:firstLine="144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[SIGNATURE PAGES CONTINUE]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F-15 </w:t>
      </w:r>
    </w:p>
    <w:p>
      <w:pPr>
        <w:pStyle w:val="TextBody"/>
        <w:bidi w:val="0"/>
        <w:spacing w:before="0" w:after="0"/>
        <w:ind w:left="0" w:right="0" w:hanging="0"/>
        <w:jc w:val="left"/>
        <w:rPr/>
      </w:pPr>
      <w:r>
        <w:rPr/>
        <w:t> </w:t>
      </w:r>
    </w:p>
    <w:p>
      <w:pPr>
        <w:pStyle w:val="TextBody"/>
        <w:bidi w:val="0"/>
        <w:jc w:val="right"/>
        <w:rPr>
          <w:rFonts w:ascii="Times New Roman;Times;Serif" w:hAnsi="Times New Roman;Times;Serif"/>
          <w:b/>
          <w:sz w:val="20"/>
        </w:rPr>
      </w:pPr>
      <w:r>
        <w:rPr>
          <w:rFonts w:ascii="Times New Roman;Times;Serif" w:hAnsi="Times New Roman;Times;Serif"/>
          <w:b/>
          <w:sz w:val="20"/>
        </w:rPr>
        <w:t>Annex A</w:t>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PLAN OF DISTRIBUTION</w:t>
      </w:r>
    </w:p>
    <w:p>
      <w:pPr>
        <w:pStyle w:val="TextBody"/>
        <w:bidi w:val="0"/>
        <w:spacing w:before="0" w:after="283"/>
        <w:jc w:val="left"/>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F-16 </w:t>
      </w:r>
    </w:p>
    <w:p>
      <w:pPr>
        <w:pStyle w:val="TextBody"/>
        <w:bidi w:val="0"/>
        <w:spacing w:before="0" w:after="0"/>
        <w:ind w:left="0" w:right="0" w:hanging="0"/>
        <w:jc w:val="left"/>
        <w:rPr/>
      </w:pPr>
      <w:r>
        <w:rPr/>
        <w:t> </w:t>
      </w:r>
    </w:p>
    <w:p>
      <w:pPr>
        <w:pStyle w:val="TextBody"/>
        <w:bidi w:val="0"/>
        <w:jc w:val="center"/>
        <w:rPr/>
      </w:pPr>
      <w:r>
        <w:rPr/>
        <w:t> </w: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Annex B</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SELLING STOCKHOLDERS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F-17 </w:t>
      </w:r>
    </w:p>
    <w:p>
      <w:pPr>
        <w:pStyle w:val="TextBody"/>
        <w:bidi w:val="0"/>
        <w:spacing w:before="0" w:after="0"/>
        <w:ind w:left="0" w:right="0" w:hanging="0"/>
        <w:jc w:val="left"/>
        <w:rPr/>
      </w:pPr>
      <w:r>
        <w:rPr/>
        <w:t> </w:t>
      </w:r>
    </w:p>
    <w:p>
      <w:pPr>
        <w:pStyle w:val="TextBody"/>
        <w:bidi w:val="0"/>
        <w:spacing w:before="0" w:after="240"/>
        <w:ind w:left="0" w:right="0" w:hanging="0"/>
        <w:jc w:val="left"/>
        <w:rPr/>
      </w:pPr>
      <w:r>
        <w:rPr/>
        <w:t> </w:t>
      </w:r>
    </w:p>
    <w:p>
      <w:pPr>
        <w:pStyle w:val="TextBody"/>
        <w:bidi w:val="0"/>
        <w:spacing w:before="0" w:after="240"/>
        <w:ind w:left="0" w:right="0" w:firstLine="720"/>
        <w:jc w:val="right"/>
        <w:rPr>
          <w:rFonts w:ascii="Times New Roman;Times;Serif" w:hAnsi="Times New Roman;Times;Serif"/>
          <w:b/>
          <w:sz w:val="20"/>
        </w:rPr>
      </w:pPr>
      <w:r>
        <w:rPr>
          <w:rFonts w:ascii="Times New Roman;Times;Serif" w:hAnsi="Times New Roman;Times;Serif"/>
          <w:b/>
          <w:sz w:val="20"/>
        </w:rPr>
        <w:t>Annex C</w:t>
      </w:r>
    </w:p>
    <w:p>
      <w:pPr>
        <w:pStyle w:val="TextBody"/>
        <w:bidi w:val="0"/>
        <w:spacing w:before="0" w:after="240"/>
        <w:jc w:val="center"/>
        <w:rPr>
          <w:rFonts w:ascii="Times New Roman;Times;Serif" w:hAnsi="Times New Roman;Times;Serif"/>
          <w:b/>
          <w:caps/>
          <w:sz w:val="20"/>
        </w:rPr>
      </w:pPr>
      <w:r>
        <w:rPr>
          <w:rFonts w:ascii="Times New Roman;Times;Serif" w:hAnsi="Times New Roman;Times;Serif"/>
          <w:b/>
          <w:caps/>
          <w:sz w:val="20"/>
        </w:rPr>
        <w:t>expion ENERGY, inc.</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Selling Stockholder Notice and Questionnaire</w:t>
      </w:r>
    </w:p>
    <w:p>
      <w:pPr>
        <w:pStyle w:val="TextBody"/>
        <w:bidi w:val="0"/>
        <w:jc w:val="both"/>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F-18 </w:t>
      </w:r>
    </w:p>
    <w:p>
      <w:pPr>
        <w:pStyle w:val="TextBody"/>
        <w:bidi w:val="0"/>
        <w:spacing w:before="0" w:after="283"/>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68886</Words>
  <Characters>363336</Characters>
  <CharactersWithSpaces>436679</CharactersWithSpaces>
  <Paragraphs>1719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