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March 26, 2026</w:t>
      </w:r>
    </w:p>
    <w:p>
      <w:pPr>
        <w:spacing w:after="0" w:line="1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122"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81-2701049</w:t>
      </w:r>
    </w:p>
    <w:p>
      <w:pPr>
        <w:spacing w:after="0" w:line="65" w:lineRule="exact"/>
        <w:rPr>
          <w:sz w:val="24"/>
          <w:szCs w:val="24"/>
          <w:color w:val="auto"/>
        </w:rPr>
      </w:pPr>
    </w:p>
    <w:p>
      <w:pPr>
        <w:sectPr>
          <w:pgSz w:w="11900" w:h="16838" w:orient="portrait"/>
          <w:cols w:equalWidth="0" w:num="2">
            <w:col w:w="7680" w:space="720"/>
            <w:col w:w="2840"/>
          </w:cols>
          <w:pgMar w:left="320" w:top="225" w:right="33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33" w:lineRule="exact"/>
        <w:rPr>
          <w:sz w:val="24"/>
          <w:szCs w:val="24"/>
          <w:color w:val="auto"/>
        </w:rPr>
      </w:pPr>
    </w:p>
    <w:p>
      <w:pPr>
        <w:sectPr>
          <w:pgSz w:w="11900" w:h="16838" w:orient="portrait"/>
          <w:cols w:equalWidth="0" w:num="2">
            <w:col w:w="7440" w:space="720"/>
            <w:col w:w="3080"/>
          </w:cols>
          <w:pgMar w:left="320" w:top="22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SW Deerhound Ave.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Redmond, OR 97756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 2021 Incentive Award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 2021 Employee Stock Purchase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plans)</w:t>
      </w:r>
    </w:p>
    <w:p>
      <w:pPr>
        <w:sectPr>
          <w:pgSz w:w="11900" w:h="16838" w:orient="portrait"/>
          <w:cols w:equalWidth="0" w:num="1">
            <w:col w:w="11240"/>
          </w:cols>
          <w:pgMar w:left="320" w:top="225" w:right="339" w:bottom="1440" w:gutter="0" w:footer="0" w:header="0"/>
          <w:type w:val="continuous"/>
        </w:sectPr>
      </w:pP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Corporation Service Company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112 North Curry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Carson City, NV 89703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(775) 684-5708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Ryan C. Wilkins,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Stradling Yocca Carlson &amp; Rauth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660 Newport Center Drive, Suite 1600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Newport Beach, California 92660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(949) 725-4000</w:t>
      </w:r>
    </w:p>
    <w:p>
      <w:pPr>
        <w:spacing w:after="0" w:line="207"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This Registration Statement on Form S-8 (this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is being filed by Expion360 Inc., a Nevada corporation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to register shares of its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as follows:</w:t>
      </w:r>
    </w:p>
    <w:p>
      <w:pPr>
        <w:spacing w:after="0" w:line="155" w:lineRule="exact"/>
        <w:rPr>
          <w:sz w:val="20"/>
          <w:szCs w:val="20"/>
          <w:color w:val="auto"/>
        </w:rPr>
      </w:pPr>
    </w:p>
    <w:p>
      <w:pPr>
        <w:ind w:left="980" w:right="20" w:hanging="324"/>
        <w:spacing w:after="0" w:line="28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489,086 shares of Common Stock reserved for issuance under the Expion360 Inc. 2021 Incentive Award Plan (the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pursuant to the evergreen provision set forth in the 2021 Plan reflecting the automatic annual increase effective as of January 1, 2026; and</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3,401 shares of Common Stock reserved for issuance under 2021 Plan pursuant to the evergreen provision set forth in the 2021 Plan reflecting the automatic annual increase effective as of January 1, 2023, which were previously reserved for issuance under the 2021 Plan, but were not previously registered on Form S-8.</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212529"/>
        </w:rPr>
        <w:t>On October 8, 2024, the Registrant effected a 1-for-100 reverse stock split (the “</w:t>
      </w:r>
      <w:r>
        <w:rPr>
          <w:rFonts w:ascii="Times New Roman" w:cs="Times New Roman" w:eastAsia="Times New Roman" w:hAnsi="Times New Roman"/>
          <w:sz w:val="18"/>
          <w:szCs w:val="18"/>
          <w:b w:val="1"/>
          <w:bCs w:val="1"/>
          <w:i w:val="1"/>
          <w:iCs w:val="1"/>
          <w:color w:val="212529"/>
        </w:rPr>
        <w:t>Reverse Stock Split</w:t>
      </w:r>
      <w:r>
        <w:rPr>
          <w:rFonts w:ascii="Times New Roman" w:cs="Times New Roman" w:eastAsia="Times New Roman" w:hAnsi="Times New Roman"/>
          <w:sz w:val="18"/>
          <w:szCs w:val="18"/>
          <w:color w:val="212529"/>
        </w:rPr>
        <w:t>”) of its issued and outstanding Common Stock. A</w:t>
      </w:r>
      <w:r>
        <w:rPr>
          <w:rFonts w:ascii="Times New Roman" w:cs="Times New Roman" w:eastAsia="Times New Roman" w:hAnsi="Times New Roman"/>
          <w:sz w:val="18"/>
          <w:szCs w:val="18"/>
          <w:color w:val="000000"/>
        </w:rPr>
        <w:t>ll references to share numbers in this Registration Statement, and the accompanying exhibits, have been adjusted to reflect the impact of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Reverse Stock Split.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General Instruction E of Form S-8, this Registration Statement hereby incorporates by reference the contents of the Registrant’s registration statements on Form S-8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October 26, 2022 (File No. 333-268016), April 1, 2024 (File No. 333-278441), April 3, 2025 (File No. 333-286354), and August 7, 2025 (File No. 333-289358).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in accordance with the provisions of Rule 428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the introductory note to Part I of Form S-8. The documents containing the information specified in Part I of Form S-8 will be delivered to the participants in the 2021 Plan and the 2021 ESPP, as specified by Rule 428(b)(1) under the Securities Act.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ind w:left="16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documents, which have been filed by the Registrant with the Commission, are hereby incorporated by reference herein, and shall be deemed to be a part of, this Registration Statement:</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fiscal year ended December 31, 2025, filed with the Commission on March 17, 2026, including the Description of Capital Stock set forth in Exhibit 4.4 attached thereto, as well as any amendments to such exhibit filed for the purpose of updating such description;</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Definitive Proxy Statement on Schedule 14A filed with the Commission on June 17, 2025;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 on Form 8-K filed with the Commission on January 30, 2026.</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 13(a), 13(c), 14 or 15(d)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a part of it from the respective dates of filing such documents; except as to any portion of any future annual, quarterly or current report, or other document, or any portion thereof, that is deemed furnished and not deemed filed under such provisions.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84" w:lineRule="exact"/>
        <w:rPr>
          <w:sz w:val="20"/>
          <w:szCs w:val="20"/>
          <w:color w:val="auto"/>
        </w:rPr>
      </w:pPr>
    </w:p>
    <w:p>
      <w:pPr>
        <w:ind w:left="28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8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8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Subsection (1) of Section 78.7502 of the Nevada General Corporation Law (the “</w:t>
      </w:r>
      <w:r>
        <w:rPr>
          <w:rFonts w:ascii="Times New Roman" w:cs="Times New Roman" w:eastAsia="Times New Roman" w:hAnsi="Times New Roman"/>
          <w:sz w:val="18"/>
          <w:szCs w:val="18"/>
          <w:b w:val="1"/>
          <w:bCs w:val="1"/>
          <w:i w:val="1"/>
          <w:iCs w:val="1"/>
          <w:color w:val="auto"/>
        </w:rPr>
        <w:t>NGCL</w:t>
      </w:r>
      <w:r>
        <w:rPr>
          <w:rFonts w:ascii="Times New Roman" w:cs="Times New Roman" w:eastAsia="Times New Roman" w:hAnsi="Times New Roman"/>
          <w:sz w:val="18"/>
          <w:szCs w:val="18"/>
          <w:color w:val="auto"/>
        </w:rPr>
        <w:t>”)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or her in connection with the action, suit, or proceeding if the person (i) exercised their powers in good faith under NGCL 78.138, or (ii)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Subsection (2) of Section 78.7502 of the NGCL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in subsection (1) above, against expenses (including attorneys’ fees and amounts paid in settlement) actually and reasonably incurred by him or her in connection with the defense or settlement of such action or suit if the person (i) exercised their powers in good faith under NGCL 78.138, or (ii) acted in good faith and in a manner he or she reasonably believed to be in, or not opposed to, the best interests of the corporation, except that no indemnification may be made in respect to any claim, issue, or matter as to which such person shall have been adjudged to be liable to the corporation, unless, and only to the extent that, the court in which such action or suit was brought determines that, in view of all the circumstances of the case, such person is fairly and reasonably entitled to indemnify for such expenses which the court shall deem proper.</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4" w:name="page5"/>
    <w:bookmarkEnd w:id="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Subsection (3) of Section 78.7502 of the NGCL provides that any discretionary indemnification pursuant to Section 78.7502 of the NGCL may be made by the corporation only as authorized in each specific case upon the determination that the indemnification of a director, officer, employee or agent of a corporation is proper under the circumstances.</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Registrant’s Articles of Incorporation, as amended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permits the Registrant to indemnify its directors and officers in the same manner as prescribed by the laws of the State of Nevada against expenses (including attorneys’ fees, judgments, fines and amounts paid in settlement) actually and reasonably incurred by him or her in connection with such action, suit or proceeding related to their services as officers or directors. In addition, the Articles provide that the Registrant must pay the expenses of officers and directors incurred in defending a civil or criminal action, suit or proceeding as they are incurred and in advance of the final disposition of the action, suit or proceeding, upon receipt of an undertaking by or on behalf of the director or officer to repay the amount if it is ultimately determined by a court of competent jurisdiction that he or she is not entitled to be indemnified by the Registrant. Such right of indemnification shall not be exclusive of any other right which such officers or directors may have. Further, the Articles provide that the Registrant’s board of directors may cause it to purchase and maintain insurance on behalf of any person who is or was a director or officer. The indemnification provided in the Articles shall continue as to a person who has ceased to be an officer or director, and shall inure to the benefit of the heirs, executors and administrators of any such person</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Registrant’s Amended and Restated Bylaws provide that each officer or director who was or is a party to, or is threatened to be made a party to, or is otherwise involved in, any Proceeding (defined as any threatened, pending, or completed action, suit or proceeding, whether civil, criminal, administrative, or investigative), by reason of the fact that he or she is or was a director or officer of the Registrant or a director or officer or an affiliate of a predecessor corporation or member, manager or managing member of a predecessor limited liability company or affiliate of such limited liability company or is or was serving in any capacity at the request of the Registrant as a director, officer employee, agent, partner, member, manager or fiduciary or, or in any other capacity for, another corporation or any partnership, joint venture, limited liability company, trust, or other enterprise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shall be indemnified and held harmless by the Registrant to the fullest extent permitted by Nevada law, against all expense, liability and loss (including, without limitation, attorneys' fees, judgments, fines, taxes, penalties, and amounts paid or to be paid in settlement) reasonably incurred or suffered by the Indemnitee in connection with any Proceeding; provided that such Indemnitee either is not liable pursuant to Nevada Revised Statutes Section 78.138 or acted in good faith and in a manner such Indemnitee reasonably believed to be in or not opposed to the best interests of the Registrant and, with respect to any Proceeding that is criminal in nature, had no reasonable cause to believe that his or her conduct was unlawful. The termination of any Proceeding by judgment, order, settlement, conviction or upon a plea of nolo contendere or its equivalent, does not, of itself, create a presumption that the Indemnitee is liable pursuant to Nevada Revised Statutes Section 78.138 or did not act in good faith and in a manner in which he or she reasonably believed to be in or not opposed to the best interests of the Registrant, or that, with respect to any criminal proceeding he or she had reasonable cause to believe that his or her conduct was unlawful. The Registrant shall not indemnify an Indemnitee for any claim, issue or matter as to which the Indemnitee has been adjudged by a court of competent jurisdiction, after exhaustion of all appeals therefrom, to be liable to the Registrant or for any amounts paid in settlement to the Registrant,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Section, indemnification may not be made to or on behalf of an Indemnitee if a final adjudication establishes that his or her acts or omissions involved intentional misconduct, fraud or a knowing violation of law and was material to the cause of action. Notwithstanding the foregoing, no director or officer may be indemnified for expenses incurred in defending any threatened, pending, or completed action, suit or proceeding (including without limitation, an action, suit or proceeding by or in the right of the Registrant), whether civil, criminal, administrative or investigative, that such director or officer incurred in his or her capacity as a stockholder.</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employment agreements the Registrant has entered into with certain of its officers provide that the Registrant will indemnify these individuals to the fullest extent permitted under Nevada law against liabilities that may arise by reason of their service to the Registrant, and cover these individuals under the Registrant’s directors' and officers' liability insurance on the same basis as it covers its other officers and directors.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Registrant has entered into indemnification agreements with each of its directors and officers. These agreements require the Registrant to indemnify these individuals to the fullest extent permitted under Nevada law against liabilities that may arise by reason of their service to the Registrant, and to advance expenses incurred as a result of any proceeding against them as to which they could be indemnified.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and is, therefore, unenforceable.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list of exhibits filed with this Registration Statement is set forth in the Exhibit Index hereto and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256"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900" w:hanging="637"/>
        <w:spacing w:after="0"/>
        <w:tabs>
          <w:tab w:leader="none" w:pos="19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900" w:hanging="637"/>
        <w:spacing w:after="0" w:line="255" w:lineRule="auto"/>
        <w:tabs>
          <w:tab w:leader="none" w:pos="19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Exhibit 107 (Filing Fee Table) to the effective Registration Statement; and</w:t>
      </w:r>
    </w:p>
    <w:p>
      <w:pPr>
        <w:spacing w:after="0" w:line="188" w:lineRule="exact"/>
        <w:rPr>
          <w:rFonts w:ascii="Times New Roman" w:cs="Times New Roman" w:eastAsia="Times New Roman" w:hAnsi="Times New Roman"/>
          <w:sz w:val="18"/>
          <w:szCs w:val="18"/>
          <w:color w:val="auto"/>
        </w:rPr>
      </w:pPr>
    </w:p>
    <w:p>
      <w:pPr>
        <w:ind w:left="1900" w:hanging="637"/>
        <w:spacing w:after="0" w:line="282" w:lineRule="auto"/>
        <w:tabs>
          <w:tab w:leader="none" w:pos="19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Registration Statement is on Form S-8, and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ind w:left="1272" w:hanging="638"/>
        <w:spacing w:after="0" w:line="266" w:lineRule="auto"/>
        <w:tabs>
          <w:tab w:leader="none" w:pos="12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left="1272" w:hanging="638"/>
        <w:spacing w:after="0" w:line="282" w:lineRule="auto"/>
        <w:tabs>
          <w:tab w:leader="none" w:pos="12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632" w:hanging="632"/>
        <w:spacing w:after="0" w:line="258" w:lineRule="auto"/>
        <w:tabs>
          <w:tab w:leader="none" w:pos="6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jc w:val="both"/>
        <w:ind w:left="632" w:hanging="632"/>
        <w:spacing w:after="0" w:line="254" w:lineRule="auto"/>
        <w:tabs>
          <w:tab w:leader="none" w:pos="6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00"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Redmond, Oregon, on March 26, 2026</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227" w:lineRule="exact"/>
        <w:rPr>
          <w:sz w:val="20"/>
          <w:szCs w:val="20"/>
          <w:color w:val="auto"/>
        </w:rPr>
      </w:pPr>
    </w:p>
    <w:p>
      <w:pPr>
        <w:ind w:left="564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Joseph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Joseph Hammer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 and Chairman of the Board 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Directors</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Joseph Hammer and Shawna Bowin, and each of them individually, his or her true and lawful attorney-in-fact and agent, with full power of 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his, her or their substitute or substitutes, may lawfully do or cause to be done or by virtue hereof.</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Joseph Hammer</w:t>
            </w:r>
          </w:p>
        </w:tc>
        <w:tc>
          <w:tcPr>
            <w:tcW w:w="120" w:type="dxa"/>
            <w:vAlign w:val="bottom"/>
          </w:tcPr>
          <w:p>
            <w:pPr>
              <w:spacing w:after="0"/>
              <w:rPr>
                <w:sz w:val="24"/>
                <w:szCs w:val="24"/>
                <w:color w:val="auto"/>
              </w:rPr>
            </w:pPr>
          </w:p>
        </w:tc>
        <w:tc>
          <w:tcPr>
            <w:tcW w:w="62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 of Directors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Joseph Hammer</w:t>
            </w:r>
          </w:p>
        </w:tc>
        <w:tc>
          <w:tcPr>
            <w:tcW w:w="120" w:type="dxa"/>
            <w:vAlign w:val="bottom"/>
          </w:tcPr>
          <w:p>
            <w:pPr>
              <w:spacing w:after="0"/>
              <w:rPr>
                <w:sz w:val="19"/>
                <w:szCs w:val="19"/>
                <w:color w:val="auto"/>
              </w:rPr>
            </w:pPr>
          </w:p>
        </w:tc>
        <w:tc>
          <w:tcPr>
            <w:tcW w:w="62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240" w:type="dxa"/>
            <w:vAlign w:val="bottom"/>
          </w:tcPr>
          <w:p>
            <w:pPr>
              <w:spacing w:after="0"/>
              <w:rPr>
                <w:sz w:val="19"/>
                <w:szCs w:val="19"/>
                <w:color w:val="auto"/>
              </w:rPr>
            </w:pPr>
          </w:p>
        </w:tc>
      </w:tr>
      <w:tr>
        <w:trPr>
          <w:trHeight w:val="393"/>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40" w:type="dxa"/>
            <w:vAlign w:val="bottom"/>
          </w:tcPr>
          <w:p>
            <w:pPr>
              <w:spacing w:after="0"/>
              <w:rPr>
                <w:sz w:val="24"/>
                <w:szCs w:val="24"/>
                <w:color w:val="auto"/>
              </w:rPr>
            </w:pPr>
          </w:p>
        </w:tc>
      </w:tr>
      <w:tr>
        <w:trPr>
          <w:trHeight w:val="236"/>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Shawna Bowin</w:t>
            </w:r>
          </w:p>
        </w:tc>
        <w:tc>
          <w:tcPr>
            <w:tcW w:w="120" w:type="dxa"/>
            <w:vAlign w:val="bottom"/>
          </w:tcPr>
          <w:p>
            <w:pPr>
              <w:spacing w:after="0"/>
              <w:rPr>
                <w:sz w:val="20"/>
                <w:szCs w:val="20"/>
                <w:color w:val="auto"/>
              </w:rPr>
            </w:pPr>
          </w:p>
        </w:tc>
        <w:tc>
          <w:tcPr>
            <w:tcW w:w="62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Shawna Bowin</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Scott Burell</w:t>
            </w:r>
          </w:p>
        </w:tc>
        <w:tc>
          <w:tcPr>
            <w:tcW w:w="120" w:type="dxa"/>
            <w:vAlign w:val="bottom"/>
          </w:tcPr>
          <w:p>
            <w:pPr>
              <w:spacing w:after="0"/>
              <w:rPr>
                <w:sz w:val="24"/>
                <w:szCs w:val="24"/>
                <w:color w:val="auto"/>
              </w:rPr>
            </w:pPr>
          </w:p>
        </w:tc>
        <w:tc>
          <w:tcPr>
            <w:tcW w:w="62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Scott Burell</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George Lefevre</w:t>
            </w:r>
          </w:p>
        </w:tc>
        <w:tc>
          <w:tcPr>
            <w:tcW w:w="120" w:type="dxa"/>
            <w:vAlign w:val="bottom"/>
          </w:tcPr>
          <w:p>
            <w:pPr>
              <w:spacing w:after="0"/>
              <w:rPr>
                <w:sz w:val="24"/>
                <w:szCs w:val="24"/>
                <w:color w:val="auto"/>
              </w:rPr>
            </w:pPr>
          </w:p>
        </w:tc>
        <w:tc>
          <w:tcPr>
            <w:tcW w:w="62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George Lefevre</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Tien Q. Nguyen</w:t>
            </w:r>
          </w:p>
        </w:tc>
        <w:tc>
          <w:tcPr>
            <w:tcW w:w="120" w:type="dxa"/>
            <w:vAlign w:val="bottom"/>
          </w:tcPr>
          <w:p>
            <w:pPr>
              <w:spacing w:after="0"/>
              <w:rPr>
                <w:sz w:val="24"/>
                <w:szCs w:val="24"/>
                <w:color w:val="auto"/>
              </w:rPr>
            </w:pPr>
          </w:p>
        </w:tc>
        <w:tc>
          <w:tcPr>
            <w:tcW w:w="62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Tien Q. Nguyen</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Brian Schaffner</w:t>
            </w:r>
          </w:p>
        </w:tc>
        <w:tc>
          <w:tcPr>
            <w:tcW w:w="120" w:type="dxa"/>
            <w:vAlign w:val="bottom"/>
          </w:tcPr>
          <w:p>
            <w:pPr>
              <w:spacing w:after="0"/>
              <w:rPr>
                <w:sz w:val="24"/>
                <w:szCs w:val="24"/>
                <w:color w:val="auto"/>
              </w:rPr>
            </w:pPr>
          </w:p>
        </w:tc>
        <w:tc>
          <w:tcPr>
            <w:tcW w:w="62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Schaffner</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Steven M. Shum</w:t>
            </w:r>
          </w:p>
        </w:tc>
        <w:tc>
          <w:tcPr>
            <w:tcW w:w="120" w:type="dxa"/>
            <w:vAlign w:val="bottom"/>
          </w:tcPr>
          <w:p>
            <w:pPr>
              <w:spacing w:after="0"/>
              <w:rPr>
                <w:sz w:val="24"/>
                <w:szCs w:val="24"/>
                <w:color w:val="auto"/>
              </w:rPr>
            </w:pPr>
          </w:p>
        </w:tc>
        <w:tc>
          <w:tcPr>
            <w:tcW w:w="62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Steven M. Shum</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26"/>
        </w:trPr>
        <w:tc>
          <w:tcPr>
            <w:tcW w:w="260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2"/>
          </w:tcPr>
          <w:p>
            <w:pPr>
              <w:jc w:val="right"/>
              <w:ind w:right="221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7"/>
        </w:trPr>
        <w:tc>
          <w:tcPr>
            <w:tcW w:w="8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Registrant’s</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280" w:type="dxa"/>
            <w:vAlign w:val="bottom"/>
          </w:tcPr>
          <w:p>
            <w:pPr>
              <w:spacing w:after="0"/>
              <w:rPr>
                <w:sz w:val="24"/>
                <w:szCs w:val="24"/>
                <w:color w:val="auto"/>
              </w:rPr>
            </w:pPr>
          </w:p>
        </w:tc>
        <w:tc>
          <w:tcPr>
            <w:tcW w:w="10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65"/>
        </w:trPr>
        <w:tc>
          <w:tcPr>
            <w:tcW w:w="8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3720" w:type="dxa"/>
            <w:vAlign w:val="bottom"/>
            <w:tcBorders>
              <w:bottom w:val="single" w:sz="8" w:color="auto"/>
            </w:tcBorders>
            <w:gridSpan w:val="13"/>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6"/>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9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169"/>
        </w:trPr>
        <w:tc>
          <w:tcPr>
            <w:tcW w:w="880" w:type="dxa"/>
            <w:vAlign w:val="bottom"/>
            <w:gridSpan w:val="3"/>
          </w:tcPr>
          <w:p>
            <w:pPr>
              <w:spacing w:after="0" w:line="169"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6240" w:type="dxa"/>
            <w:vAlign w:val="bottom"/>
            <w:gridSpan w:val="16"/>
          </w:tcPr>
          <w:p>
            <w:pPr>
              <w:ind w:left="80"/>
              <w:spacing w:after="0" w:line="169"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Articles of Incorporation of Expion360 Inc.</w:t>
              </w:r>
            </w:hyperlink>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4"/>
          </w:tcPr>
          <w:p>
            <w:pPr>
              <w:jc w:val="center"/>
              <w:ind w:right="1020"/>
              <w:spacing w:after="0" w:line="169" w:lineRule="exact"/>
              <w:rPr>
                <w:rFonts w:ascii="Times New Roman" w:cs="Times New Roman" w:eastAsia="Times New Roman" w:hAnsi="Times New Roman"/>
                <w:sz w:val="18"/>
                <w:szCs w:val="18"/>
                <w:color w:val="0000EE"/>
                <w:w w:val="95"/>
              </w:rPr>
            </w:pPr>
            <w:hyperlink r:id="rId16">
              <w:r>
                <w:rPr>
                  <w:rFonts w:ascii="Times New Roman" w:cs="Times New Roman" w:eastAsia="Times New Roman" w:hAnsi="Times New Roman"/>
                  <w:sz w:val="18"/>
                  <w:szCs w:val="18"/>
                  <w:color w:val="0000EE"/>
                  <w:w w:val="95"/>
                </w:rPr>
                <w:t>S-1</w:t>
              </w:r>
            </w:hyperlink>
          </w:p>
        </w:tc>
        <w:tc>
          <w:tcPr>
            <w:tcW w:w="960" w:type="dxa"/>
            <w:vAlign w:val="bottom"/>
            <w:gridSpan w:val="2"/>
          </w:tcPr>
          <w:p>
            <w:pPr>
              <w:jc w:val="center"/>
              <w:ind w:right="280"/>
              <w:spacing w:after="0" w:line="169" w:lineRule="exact"/>
              <w:rPr>
                <w:rFonts w:ascii="Times New Roman" w:cs="Times New Roman" w:eastAsia="Times New Roman" w:hAnsi="Times New Roman"/>
                <w:sz w:val="18"/>
                <w:szCs w:val="18"/>
                <w:color w:val="0000EE"/>
                <w:w w:val="93"/>
              </w:rPr>
            </w:pPr>
            <w:hyperlink r:id="rId16">
              <w:r>
                <w:rPr>
                  <w:rFonts w:ascii="Times New Roman" w:cs="Times New Roman" w:eastAsia="Times New Roman" w:hAnsi="Times New Roman"/>
                  <w:sz w:val="18"/>
                  <w:szCs w:val="18"/>
                  <w:color w:val="0000EE"/>
                  <w:w w:val="93"/>
                </w:rPr>
                <w:t>3/31/2022</w:t>
              </w:r>
            </w:hyperlink>
          </w:p>
        </w:tc>
        <w:tc>
          <w:tcPr>
            <w:tcW w:w="820" w:type="dxa"/>
            <w:vAlign w:val="bottom"/>
            <w:gridSpan w:val="3"/>
          </w:tcPr>
          <w:p>
            <w:pPr>
              <w:jc w:val="center"/>
              <w:ind w:left="510"/>
              <w:spacing w:after="0" w:line="169" w:lineRule="exact"/>
              <w:rPr>
                <w:rFonts w:ascii="Times New Roman" w:cs="Times New Roman" w:eastAsia="Times New Roman" w:hAnsi="Times New Roman"/>
                <w:sz w:val="18"/>
                <w:szCs w:val="18"/>
                <w:color w:val="0000EE"/>
                <w:w w:val="97"/>
              </w:rPr>
            </w:pPr>
            <w:hyperlink r:id="rId16">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Times New Roman" w:cs="Times New Roman" w:eastAsia="Times New Roman" w:hAnsi="Times New Roman"/>
                <w:sz w:val="18"/>
                <w:szCs w:val="18"/>
                <w:color w:val="0000EE"/>
                <w:w w:val="88"/>
              </w:rPr>
            </w:pPr>
            <w:hyperlink r:id="rId17">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w:t>
              </w:r>
            </w:hyperlink>
          </w:p>
        </w:tc>
        <w:tc>
          <w:tcPr>
            <w:tcW w:w="5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160" w:type="dxa"/>
            <w:vAlign w:val="bottom"/>
            <w:gridSpan w:val="15"/>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Certificate of Amendment of the Articles of Incorporation of Expion360, Inc.</w:t>
              </w:r>
            </w:hyperlink>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5"/>
          </w:tcPr>
          <w:p>
            <w:pPr>
              <w:jc w:val="center"/>
              <w:ind w:right="960"/>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8-K</w:t>
              </w:r>
            </w:hyperlink>
          </w:p>
        </w:tc>
        <w:tc>
          <w:tcPr>
            <w:tcW w:w="960" w:type="dxa"/>
            <w:vAlign w:val="bottom"/>
            <w:gridSpan w:val="2"/>
          </w:tcPr>
          <w:p>
            <w:pPr>
              <w:jc w:val="center"/>
              <w:ind w:right="280"/>
              <w:spacing w:after="0" w:line="196" w:lineRule="exact"/>
              <w:rPr>
                <w:rFonts w:ascii="Times New Roman" w:cs="Times New Roman" w:eastAsia="Times New Roman" w:hAnsi="Times New Roman"/>
                <w:sz w:val="18"/>
                <w:szCs w:val="18"/>
                <w:color w:val="0000EE"/>
                <w:w w:val="93"/>
              </w:rPr>
            </w:pPr>
            <w:hyperlink r:id="rId17">
              <w:r>
                <w:rPr>
                  <w:rFonts w:ascii="Times New Roman" w:cs="Times New Roman" w:eastAsia="Times New Roman" w:hAnsi="Times New Roman"/>
                  <w:sz w:val="18"/>
                  <w:szCs w:val="18"/>
                  <w:color w:val="0000EE"/>
                  <w:w w:val="93"/>
                </w:rPr>
                <w:t>10/7/2024</w:t>
              </w:r>
            </w:hyperlink>
          </w:p>
        </w:tc>
        <w:tc>
          <w:tcPr>
            <w:tcW w:w="820" w:type="dxa"/>
            <w:vAlign w:val="bottom"/>
            <w:gridSpan w:val="3"/>
          </w:tcPr>
          <w:p>
            <w:pPr>
              <w:jc w:val="center"/>
              <w:ind w:left="510"/>
              <w:spacing w:after="0" w:line="196" w:lineRule="exact"/>
              <w:rPr>
                <w:rFonts w:ascii="Times New Roman" w:cs="Times New Roman" w:eastAsia="Times New Roman" w:hAnsi="Times New Roman"/>
                <w:sz w:val="18"/>
                <w:szCs w:val="18"/>
                <w:color w:val="0000EE"/>
                <w:w w:val="97"/>
              </w:rPr>
            </w:pPr>
            <w:hyperlink r:id="rId1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Times New Roman" w:cs="Times New Roman" w:eastAsia="Times New Roman" w:hAnsi="Times New Roman"/>
                <w:sz w:val="18"/>
                <w:szCs w:val="18"/>
                <w:color w:val="0000EE"/>
                <w:w w:val="88"/>
              </w:rPr>
            </w:pPr>
            <w:hyperlink r:id="rId18">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3†</w:t>
              </w:r>
            </w:hyperlink>
          </w:p>
        </w:tc>
        <w:tc>
          <w:tcPr>
            <w:tcW w:w="5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5580" w:type="dxa"/>
            <w:vAlign w:val="bottom"/>
            <w:gridSpan w:val="13"/>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Amended and Restated Bylaws of Expion360 Inc.</w:t>
              </w:r>
            </w:hyperlink>
          </w:p>
        </w:tc>
        <w:tc>
          <w:tcPr>
            <w:tcW w:w="5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4"/>
          </w:tcPr>
          <w:p>
            <w:pPr>
              <w:jc w:val="center"/>
              <w:ind w:right="1000"/>
              <w:spacing w:after="0" w:line="196" w:lineRule="exact"/>
              <w:rPr>
                <w:rFonts w:ascii="Times New Roman" w:cs="Times New Roman" w:eastAsia="Times New Roman" w:hAnsi="Times New Roman"/>
                <w:sz w:val="18"/>
                <w:szCs w:val="18"/>
                <w:color w:val="0000EE"/>
                <w:w w:val="92"/>
              </w:rPr>
            </w:pPr>
            <w:hyperlink r:id="rId18">
              <w:r>
                <w:rPr>
                  <w:rFonts w:ascii="Times New Roman" w:cs="Times New Roman" w:eastAsia="Times New Roman" w:hAnsi="Times New Roman"/>
                  <w:sz w:val="18"/>
                  <w:szCs w:val="18"/>
                  <w:color w:val="0000EE"/>
                  <w:w w:val="92"/>
                </w:rPr>
                <w:t>8-K</w:t>
              </w:r>
            </w:hyperlink>
          </w:p>
        </w:tc>
        <w:tc>
          <w:tcPr>
            <w:tcW w:w="960" w:type="dxa"/>
            <w:vAlign w:val="bottom"/>
            <w:gridSpan w:val="2"/>
          </w:tcPr>
          <w:p>
            <w:pPr>
              <w:jc w:val="center"/>
              <w:ind w:right="280"/>
              <w:spacing w:after="0" w:line="196" w:lineRule="exact"/>
              <w:rPr>
                <w:rFonts w:ascii="Times New Roman" w:cs="Times New Roman" w:eastAsia="Times New Roman" w:hAnsi="Times New Roman"/>
                <w:sz w:val="18"/>
                <w:szCs w:val="18"/>
                <w:color w:val="0000EE"/>
                <w:w w:val="93"/>
              </w:rPr>
            </w:pPr>
            <w:hyperlink r:id="rId18">
              <w:r>
                <w:rPr>
                  <w:rFonts w:ascii="Times New Roman" w:cs="Times New Roman" w:eastAsia="Times New Roman" w:hAnsi="Times New Roman"/>
                  <w:sz w:val="18"/>
                  <w:szCs w:val="18"/>
                  <w:color w:val="0000EE"/>
                  <w:w w:val="93"/>
                </w:rPr>
                <w:t>8/27/2024</w:t>
              </w:r>
            </w:hyperlink>
          </w:p>
        </w:tc>
        <w:tc>
          <w:tcPr>
            <w:tcW w:w="820" w:type="dxa"/>
            <w:vAlign w:val="bottom"/>
            <w:gridSpan w:val="3"/>
          </w:tcPr>
          <w:p>
            <w:pPr>
              <w:jc w:val="center"/>
              <w:ind w:left="510"/>
              <w:spacing w:after="0" w:line="196" w:lineRule="exact"/>
              <w:rPr>
                <w:rFonts w:ascii="Times New Roman" w:cs="Times New Roman" w:eastAsia="Times New Roman" w:hAnsi="Times New Roman"/>
                <w:sz w:val="18"/>
                <w:szCs w:val="18"/>
                <w:color w:val="0000EE"/>
                <w:w w:val="97"/>
              </w:rPr>
            </w:pPr>
            <w:hyperlink r:id="rId18">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Stradling Yocca Carlson &amp; Rauth LLP</w:t>
            </w:r>
          </w:p>
        </w:tc>
        <w:tc>
          <w:tcPr>
            <w:tcW w:w="2540" w:type="dxa"/>
            <w:vAlign w:val="bottom"/>
            <w:gridSpan w:val="9"/>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8"/>
              </w:rPr>
            </w:pPr>
            <w:hyperlink r:id="rId1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w:t>
              </w:r>
            </w:hyperlink>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20" w:type="dxa"/>
            <w:vAlign w:val="bottom"/>
            <w:gridSpan w:val="4"/>
          </w:tcPr>
          <w:p>
            <w:pPr>
              <w:spacing w:after="0" w:line="196" w:lineRule="exact"/>
              <w:rPr>
                <w:rFonts w:ascii="Times New Roman" w:cs="Times New Roman" w:eastAsia="Times New Roman" w:hAnsi="Times New Roman"/>
                <w:sz w:val="18"/>
                <w:szCs w:val="18"/>
                <w:color w:val="0000EE"/>
                <w:w w:val="98"/>
              </w:rPr>
            </w:pPr>
            <w:hyperlink r:id="rId19">
              <w:r>
                <w:rPr>
                  <w:rFonts w:ascii="Times New Roman" w:cs="Times New Roman" w:eastAsia="Times New Roman" w:hAnsi="Times New Roman"/>
                  <w:sz w:val="18"/>
                  <w:szCs w:val="18"/>
                  <w:color w:val="0000EE"/>
                  <w:w w:val="98"/>
                </w:rPr>
                <w:t>Expion360 Inc. 2021 Incentive Award Plan</w:t>
              </w:r>
            </w:hyperlink>
          </w:p>
        </w:tc>
        <w:tc>
          <w:tcPr>
            <w:tcW w:w="3040" w:type="dxa"/>
            <w:vAlign w:val="bottom"/>
            <w:gridSpan w:val="11"/>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4"/>
          </w:tcPr>
          <w:p>
            <w:pPr>
              <w:jc w:val="center"/>
              <w:ind w:right="1020"/>
              <w:spacing w:after="0" w:line="196" w:lineRule="exact"/>
              <w:rPr>
                <w:rFonts w:ascii="Times New Roman" w:cs="Times New Roman" w:eastAsia="Times New Roman" w:hAnsi="Times New Roman"/>
                <w:sz w:val="18"/>
                <w:szCs w:val="18"/>
                <w:color w:val="0000EE"/>
                <w:w w:val="95"/>
              </w:rPr>
            </w:pPr>
            <w:hyperlink r:id="rId19">
              <w:r>
                <w:rPr>
                  <w:rFonts w:ascii="Times New Roman" w:cs="Times New Roman" w:eastAsia="Times New Roman" w:hAnsi="Times New Roman"/>
                  <w:sz w:val="18"/>
                  <w:szCs w:val="18"/>
                  <w:color w:val="0000EE"/>
                  <w:w w:val="95"/>
                </w:rPr>
                <w:t>S-1</w:t>
              </w:r>
            </w:hyperlink>
          </w:p>
        </w:tc>
        <w:tc>
          <w:tcPr>
            <w:tcW w:w="960" w:type="dxa"/>
            <w:vAlign w:val="bottom"/>
            <w:gridSpan w:val="2"/>
          </w:tcPr>
          <w:p>
            <w:pPr>
              <w:jc w:val="center"/>
              <w:ind w:right="280"/>
              <w:spacing w:after="0" w:line="196" w:lineRule="exact"/>
              <w:rPr>
                <w:rFonts w:ascii="Times New Roman" w:cs="Times New Roman" w:eastAsia="Times New Roman" w:hAnsi="Times New Roman"/>
                <w:sz w:val="18"/>
                <w:szCs w:val="18"/>
                <w:color w:val="0000EE"/>
                <w:w w:val="93"/>
              </w:rPr>
            </w:pPr>
            <w:hyperlink r:id="rId19">
              <w:r>
                <w:rPr>
                  <w:rFonts w:ascii="Times New Roman" w:cs="Times New Roman" w:eastAsia="Times New Roman" w:hAnsi="Times New Roman"/>
                  <w:sz w:val="18"/>
                  <w:szCs w:val="18"/>
                  <w:color w:val="0000EE"/>
                  <w:w w:val="93"/>
                </w:rPr>
                <w:t>3/31/2022</w:t>
              </w:r>
            </w:hyperlink>
          </w:p>
        </w:tc>
        <w:tc>
          <w:tcPr>
            <w:tcW w:w="1140" w:type="dxa"/>
            <w:vAlign w:val="bottom"/>
            <w:gridSpan w:val="4"/>
          </w:tcPr>
          <w:p>
            <w:pPr>
              <w:jc w:val="center"/>
              <w:ind w:left="170"/>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180" w:type="dxa"/>
            <w:vAlign w:val="bottom"/>
          </w:tcPr>
          <w:p>
            <w:pPr>
              <w:spacing w:after="0"/>
              <w:rPr>
                <w:sz w:val="17"/>
                <w:szCs w:val="17"/>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w:t>
              </w:r>
            </w:hyperlink>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40" w:type="dxa"/>
            <w:vAlign w:val="bottom"/>
            <w:gridSpan w:val="9"/>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Amendment to Expion360 Inc. 2021 Incentive Award Plan</w:t>
              </w:r>
            </w:hyperlink>
          </w:p>
        </w:tc>
        <w:tc>
          <w:tcPr>
            <w:tcW w:w="1920" w:type="dxa"/>
            <w:vAlign w:val="bottom"/>
            <w:gridSpan w:val="6"/>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5"/>
          </w:tcPr>
          <w:p>
            <w:pPr>
              <w:jc w:val="center"/>
              <w:ind w:right="960"/>
              <w:spacing w:after="0" w:line="196" w:lineRule="exact"/>
              <w:rPr>
                <w:rFonts w:ascii="Times New Roman" w:cs="Times New Roman" w:eastAsia="Times New Roman" w:hAnsi="Times New Roman"/>
                <w:sz w:val="18"/>
                <w:szCs w:val="18"/>
                <w:color w:val="0000EE"/>
                <w:w w:val="97"/>
              </w:rPr>
            </w:pPr>
            <w:hyperlink r:id="rId20">
              <w:r>
                <w:rPr>
                  <w:rFonts w:ascii="Times New Roman" w:cs="Times New Roman" w:eastAsia="Times New Roman" w:hAnsi="Times New Roman"/>
                  <w:sz w:val="18"/>
                  <w:szCs w:val="18"/>
                  <w:color w:val="0000EE"/>
                  <w:w w:val="97"/>
                </w:rPr>
                <w:t>10-K</w:t>
              </w:r>
            </w:hyperlink>
          </w:p>
        </w:tc>
        <w:tc>
          <w:tcPr>
            <w:tcW w:w="960" w:type="dxa"/>
            <w:vAlign w:val="bottom"/>
            <w:gridSpan w:val="2"/>
          </w:tcPr>
          <w:p>
            <w:pPr>
              <w:jc w:val="center"/>
              <w:ind w:right="280"/>
              <w:spacing w:after="0" w:line="196" w:lineRule="exact"/>
              <w:rPr>
                <w:rFonts w:ascii="Times New Roman" w:cs="Times New Roman" w:eastAsia="Times New Roman" w:hAnsi="Times New Roman"/>
                <w:sz w:val="18"/>
                <w:szCs w:val="18"/>
                <w:color w:val="0000EE"/>
                <w:w w:val="93"/>
              </w:rPr>
            </w:pPr>
            <w:hyperlink r:id="rId20">
              <w:r>
                <w:rPr>
                  <w:rFonts w:ascii="Times New Roman" w:cs="Times New Roman" w:eastAsia="Times New Roman" w:hAnsi="Times New Roman"/>
                  <w:sz w:val="18"/>
                  <w:szCs w:val="18"/>
                  <w:color w:val="0000EE"/>
                  <w:w w:val="93"/>
                </w:rPr>
                <w:t>3/28/2024</w:t>
              </w:r>
            </w:hyperlink>
          </w:p>
        </w:tc>
        <w:tc>
          <w:tcPr>
            <w:tcW w:w="1140" w:type="dxa"/>
            <w:vAlign w:val="bottom"/>
            <w:gridSpan w:val="4"/>
          </w:tcPr>
          <w:p>
            <w:pPr>
              <w:jc w:val="center"/>
              <w:ind w:left="170"/>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180" w:type="dxa"/>
            <w:vAlign w:val="bottom"/>
          </w:tcPr>
          <w:p>
            <w:pPr>
              <w:spacing w:after="0"/>
              <w:rPr>
                <w:sz w:val="17"/>
                <w:szCs w:val="17"/>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w:t>
              </w:r>
            </w:hyperlink>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20" w:type="dxa"/>
            <w:vAlign w:val="bottom"/>
            <w:gridSpan w:val="11"/>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Second Amendment to Expion360 Inc. 2021 Incentive Award Plan</w:t>
              </w:r>
            </w:hyperlink>
          </w:p>
        </w:tc>
        <w:tc>
          <w:tcPr>
            <w:tcW w:w="1340" w:type="dxa"/>
            <w:vAlign w:val="bottom"/>
            <w:gridSpan w:val="4"/>
          </w:tcPr>
          <w:p>
            <w:pPr>
              <w:spacing w:after="0"/>
              <w:rPr>
                <w:sz w:val="17"/>
                <w:szCs w:val="17"/>
                <w:color w:val="auto"/>
              </w:rPr>
            </w:pPr>
          </w:p>
        </w:tc>
        <w:tc>
          <w:tcPr>
            <w:tcW w:w="1840" w:type="dxa"/>
            <w:vAlign w:val="bottom"/>
            <w:gridSpan w:val="7"/>
          </w:tcPr>
          <w:p>
            <w:pPr>
              <w:jc w:val="center"/>
              <w:ind w:right="420"/>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DEF 14A</w:t>
              </w:r>
            </w:hyperlink>
          </w:p>
        </w:tc>
        <w:tc>
          <w:tcPr>
            <w:tcW w:w="960" w:type="dxa"/>
            <w:vAlign w:val="bottom"/>
            <w:gridSpan w:val="2"/>
          </w:tcPr>
          <w:p>
            <w:pPr>
              <w:jc w:val="center"/>
              <w:ind w:right="280"/>
              <w:spacing w:after="0" w:line="196" w:lineRule="exact"/>
              <w:rPr>
                <w:rFonts w:ascii="Times New Roman" w:cs="Times New Roman" w:eastAsia="Times New Roman" w:hAnsi="Times New Roman"/>
                <w:sz w:val="18"/>
                <w:szCs w:val="18"/>
                <w:color w:val="0000EE"/>
                <w:w w:val="93"/>
              </w:rPr>
            </w:pPr>
            <w:hyperlink r:id="rId21">
              <w:r>
                <w:rPr>
                  <w:rFonts w:ascii="Times New Roman" w:cs="Times New Roman" w:eastAsia="Times New Roman" w:hAnsi="Times New Roman"/>
                  <w:sz w:val="18"/>
                  <w:szCs w:val="18"/>
                  <w:color w:val="0000EE"/>
                  <w:w w:val="93"/>
                </w:rPr>
                <w:t>6/17/2025</w:t>
              </w:r>
            </w:hyperlink>
          </w:p>
        </w:tc>
        <w:tc>
          <w:tcPr>
            <w:tcW w:w="1320" w:type="dxa"/>
            <w:vAlign w:val="bottom"/>
            <w:gridSpan w:val="5"/>
          </w:tcPr>
          <w:p>
            <w:pPr>
              <w:jc w:val="cente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Appendix A</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4†</w:t>
              </w:r>
            </w:hyperlink>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20" w:type="dxa"/>
            <w:vAlign w:val="bottom"/>
            <w:gridSpan w:val="11"/>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Expion360 Inc. 2021 Employee Stock Purchase Plan</w:t>
              </w:r>
            </w:hyperlink>
          </w:p>
        </w:tc>
        <w:tc>
          <w:tcPr>
            <w:tcW w:w="134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4"/>
          </w:tcPr>
          <w:p>
            <w:pPr>
              <w:jc w:val="center"/>
              <w:ind w:right="180"/>
              <w:spacing w:after="0" w:line="196" w:lineRule="exact"/>
              <w:rPr>
                <w:rFonts w:ascii="Times New Roman" w:cs="Times New Roman" w:eastAsia="Times New Roman" w:hAnsi="Times New Roman"/>
                <w:sz w:val="18"/>
                <w:szCs w:val="18"/>
                <w:color w:val="0000EE"/>
                <w:w w:val="97"/>
              </w:rPr>
            </w:pPr>
            <w:hyperlink r:id="rId20">
              <w:r>
                <w:rPr>
                  <w:rFonts w:ascii="Times New Roman" w:cs="Times New Roman" w:eastAsia="Times New Roman" w:hAnsi="Times New Roman"/>
                  <w:sz w:val="18"/>
                  <w:szCs w:val="18"/>
                  <w:color w:val="0000EE"/>
                  <w:w w:val="97"/>
                </w:rPr>
                <w:t>10-K</w:t>
              </w:r>
            </w:hyperlink>
          </w:p>
        </w:tc>
        <w:tc>
          <w:tcPr>
            <w:tcW w:w="780" w:type="dxa"/>
            <w:vAlign w:val="bottom"/>
          </w:tcPr>
          <w:p>
            <w:pPr>
              <w:spacing w:after="0"/>
              <w:rPr>
                <w:sz w:val="17"/>
                <w:szCs w:val="17"/>
                <w:color w:val="auto"/>
              </w:rPr>
            </w:pPr>
          </w:p>
        </w:tc>
        <w:tc>
          <w:tcPr>
            <w:tcW w:w="960" w:type="dxa"/>
            <w:vAlign w:val="bottom"/>
            <w:gridSpan w:val="2"/>
          </w:tcPr>
          <w:p>
            <w:pPr>
              <w:jc w:val="center"/>
              <w:ind w:right="280"/>
              <w:spacing w:after="0" w:line="196" w:lineRule="exact"/>
              <w:rPr>
                <w:rFonts w:ascii="Times New Roman" w:cs="Times New Roman" w:eastAsia="Times New Roman" w:hAnsi="Times New Roman"/>
                <w:sz w:val="18"/>
                <w:szCs w:val="18"/>
                <w:color w:val="0000EE"/>
                <w:w w:val="93"/>
              </w:rPr>
            </w:pPr>
            <w:hyperlink r:id="rId20">
              <w:r>
                <w:rPr>
                  <w:rFonts w:ascii="Times New Roman" w:cs="Times New Roman" w:eastAsia="Times New Roman" w:hAnsi="Times New Roman"/>
                  <w:sz w:val="18"/>
                  <w:szCs w:val="18"/>
                  <w:color w:val="0000EE"/>
                  <w:w w:val="93"/>
                </w:rPr>
                <w:t>3/28/2024</w:t>
              </w:r>
            </w:hyperlink>
          </w:p>
        </w:tc>
        <w:tc>
          <w:tcPr>
            <w:tcW w:w="1140" w:type="dxa"/>
            <w:vAlign w:val="bottom"/>
            <w:gridSpan w:val="4"/>
          </w:tcPr>
          <w:p>
            <w:pPr>
              <w:jc w:val="center"/>
              <w:ind w:left="170"/>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180" w:type="dxa"/>
            <w:vAlign w:val="bottom"/>
          </w:tcPr>
          <w:p>
            <w:pPr>
              <w:spacing w:after="0"/>
              <w:rPr>
                <w:sz w:val="17"/>
                <w:szCs w:val="17"/>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960" w:type="dxa"/>
            <w:vAlign w:val="bottom"/>
            <w:tcBorders>
              <w:right w:val="single" w:sz="8" w:color="0000EE"/>
            </w:tcBorders>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5†</w:t>
              </w:r>
            </w:hyperlink>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160" w:type="dxa"/>
            <w:vAlign w:val="bottom"/>
            <w:gridSpan w:val="15"/>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Amendment to Expion360 Inc. 2021 Employee Stock Purchase Plan</w:t>
              </w:r>
            </w:hyperlink>
          </w:p>
        </w:tc>
        <w:tc>
          <w:tcPr>
            <w:tcW w:w="1840" w:type="dxa"/>
            <w:vAlign w:val="bottom"/>
            <w:gridSpan w:val="7"/>
          </w:tcPr>
          <w:p>
            <w:pPr>
              <w:jc w:val="center"/>
              <w:ind w:right="420"/>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DEF 14A</w:t>
              </w:r>
            </w:hyperlink>
          </w:p>
        </w:tc>
        <w:tc>
          <w:tcPr>
            <w:tcW w:w="960" w:type="dxa"/>
            <w:vAlign w:val="bottom"/>
            <w:gridSpan w:val="2"/>
          </w:tcPr>
          <w:p>
            <w:pPr>
              <w:jc w:val="center"/>
              <w:ind w:right="280"/>
              <w:spacing w:after="0" w:line="196" w:lineRule="exact"/>
              <w:rPr>
                <w:rFonts w:ascii="Times New Roman" w:cs="Times New Roman" w:eastAsia="Times New Roman" w:hAnsi="Times New Roman"/>
                <w:sz w:val="18"/>
                <w:szCs w:val="18"/>
                <w:color w:val="0000EE"/>
                <w:w w:val="93"/>
              </w:rPr>
            </w:pPr>
            <w:hyperlink r:id="rId21">
              <w:r>
                <w:rPr>
                  <w:rFonts w:ascii="Times New Roman" w:cs="Times New Roman" w:eastAsia="Times New Roman" w:hAnsi="Times New Roman"/>
                  <w:sz w:val="18"/>
                  <w:szCs w:val="18"/>
                  <w:color w:val="0000EE"/>
                  <w:w w:val="93"/>
                </w:rPr>
                <w:t>6/17/2025</w:t>
              </w:r>
            </w:hyperlink>
          </w:p>
        </w:tc>
        <w:tc>
          <w:tcPr>
            <w:tcW w:w="280" w:type="dxa"/>
            <w:vAlign w:val="bottom"/>
          </w:tcPr>
          <w:p>
            <w:pPr>
              <w:spacing w:after="0"/>
              <w:rPr>
                <w:sz w:val="17"/>
                <w:szCs w:val="17"/>
                <w:color w:val="auto"/>
              </w:rPr>
            </w:pPr>
          </w:p>
        </w:tc>
        <w:tc>
          <w:tcPr>
            <w:tcW w:w="1040" w:type="dxa"/>
            <w:vAlign w:val="bottom"/>
            <w:gridSpan w:val="4"/>
          </w:tcPr>
          <w:p>
            <w:pPr>
              <w:jc w:val="center"/>
              <w:ind w:right="180"/>
              <w:spacing w:after="0" w:line="196" w:lineRule="exact"/>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Appendix B</w:t>
              </w:r>
            </w:hyperlink>
          </w:p>
        </w:tc>
      </w:tr>
      <w:tr>
        <w:trPr>
          <w:trHeight w:val="196"/>
        </w:trPr>
        <w:tc>
          <w:tcPr>
            <w:tcW w:w="4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6†</w:t>
              </w:r>
            </w:hyperlink>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Form of Restricted Stock Unit Agreement</w:t>
              </w:r>
            </w:hyperlink>
          </w:p>
        </w:tc>
        <w:tc>
          <w:tcPr>
            <w:tcW w:w="124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gridSpan w:val="4"/>
          </w:tcPr>
          <w:p>
            <w:pPr>
              <w:jc w:val="center"/>
              <w:ind w:right="1020"/>
              <w:spacing w:after="0" w:line="196" w:lineRule="exact"/>
              <w:rPr>
                <w:rFonts w:ascii="Times New Roman" w:cs="Times New Roman" w:eastAsia="Times New Roman" w:hAnsi="Times New Roman"/>
                <w:sz w:val="18"/>
                <w:szCs w:val="18"/>
                <w:color w:val="0000EE"/>
                <w:w w:val="95"/>
              </w:rPr>
            </w:pPr>
            <w:hyperlink r:id="rId22">
              <w:r>
                <w:rPr>
                  <w:rFonts w:ascii="Times New Roman" w:cs="Times New Roman" w:eastAsia="Times New Roman" w:hAnsi="Times New Roman"/>
                  <w:sz w:val="18"/>
                  <w:szCs w:val="18"/>
                  <w:color w:val="0000EE"/>
                  <w:w w:val="95"/>
                </w:rPr>
                <w:t>S-8</w:t>
              </w:r>
            </w:hyperlink>
          </w:p>
        </w:tc>
        <w:tc>
          <w:tcPr>
            <w:tcW w:w="640" w:type="dxa"/>
            <w:vAlign w:val="bottom"/>
            <w:tcBorders>
              <w:top w:val="single" w:sz="8" w:color="0000EE"/>
            </w:tcBorders>
          </w:tcPr>
          <w:p>
            <w:pPr>
              <w:jc w:val="cente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4/3/2025</w:t>
              </w:r>
            </w:hyperlink>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top w:val="single" w:sz="8" w:color="0000EE"/>
            </w:tcBorders>
            <w:gridSpan w:val="3"/>
          </w:tcPr>
          <w:p>
            <w:pPr>
              <w:jc w:val="center"/>
              <w:ind w:right="20"/>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180" w:type="dxa"/>
            <w:vAlign w:val="bottom"/>
          </w:tcPr>
          <w:p>
            <w:pPr>
              <w:spacing w:after="0"/>
              <w:rPr>
                <w:sz w:val="17"/>
                <w:szCs w:val="17"/>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7†</w:t>
              </w:r>
            </w:hyperlink>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gridSpan w:val="2"/>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Form of Stock Option Agreement</w:t>
              </w:r>
            </w:hyperlink>
          </w:p>
        </w:tc>
        <w:tc>
          <w:tcPr>
            <w:tcW w:w="580" w:type="dxa"/>
            <w:vAlign w:val="bottom"/>
          </w:tcPr>
          <w:p>
            <w:pPr>
              <w:spacing w:after="0"/>
              <w:rPr>
                <w:sz w:val="17"/>
                <w:szCs w:val="17"/>
                <w:color w:val="auto"/>
              </w:rPr>
            </w:pPr>
          </w:p>
        </w:tc>
        <w:tc>
          <w:tcPr>
            <w:tcW w:w="3140" w:type="dxa"/>
            <w:vAlign w:val="bottom"/>
            <w:gridSpan w:val="12"/>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4"/>
          </w:tcPr>
          <w:p>
            <w:pPr>
              <w:jc w:val="center"/>
              <w:ind w:right="1020"/>
              <w:spacing w:after="0" w:line="196" w:lineRule="exact"/>
              <w:rPr>
                <w:rFonts w:ascii="Times New Roman" w:cs="Times New Roman" w:eastAsia="Times New Roman" w:hAnsi="Times New Roman"/>
                <w:sz w:val="18"/>
                <w:szCs w:val="18"/>
                <w:color w:val="0000EE"/>
                <w:w w:val="95"/>
              </w:rPr>
            </w:pPr>
            <w:hyperlink r:id="rId23">
              <w:r>
                <w:rPr>
                  <w:rFonts w:ascii="Times New Roman" w:cs="Times New Roman" w:eastAsia="Times New Roman" w:hAnsi="Times New Roman"/>
                  <w:sz w:val="18"/>
                  <w:szCs w:val="18"/>
                  <w:color w:val="0000EE"/>
                  <w:w w:val="95"/>
                </w:rPr>
                <w:t>S-8</w:t>
              </w:r>
            </w:hyperlink>
          </w:p>
        </w:tc>
        <w:tc>
          <w:tcPr>
            <w:tcW w:w="640" w:type="dxa"/>
            <w:vAlign w:val="bottom"/>
          </w:tcPr>
          <w:p>
            <w:pPr>
              <w:jc w:val="cente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8/7/2025</w:t>
              </w:r>
            </w:hyperlink>
          </w:p>
        </w:tc>
        <w:tc>
          <w:tcPr>
            <w:tcW w:w="320" w:type="dxa"/>
            <w:vAlign w:val="bottom"/>
          </w:tcPr>
          <w:p>
            <w:pPr>
              <w:spacing w:after="0"/>
              <w:rPr>
                <w:sz w:val="17"/>
                <w:szCs w:val="17"/>
                <w:color w:val="auto"/>
              </w:rPr>
            </w:pPr>
          </w:p>
        </w:tc>
        <w:tc>
          <w:tcPr>
            <w:tcW w:w="1140" w:type="dxa"/>
            <w:vAlign w:val="bottom"/>
            <w:gridSpan w:val="4"/>
          </w:tcPr>
          <w:p>
            <w:pPr>
              <w:jc w:val="center"/>
              <w:ind w:left="170"/>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180" w:type="dxa"/>
            <w:vAlign w:val="bottom"/>
          </w:tcPr>
          <w:p>
            <w:pPr>
              <w:spacing w:after="0"/>
              <w:rPr>
                <w:sz w:val="17"/>
                <w:szCs w:val="17"/>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1*</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1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60" w:type="dxa"/>
            <w:vAlign w:val="bottom"/>
            <w:gridSpan w:val="7"/>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2*</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9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Stradling Yocca Carlson &amp; Rauth LLP (included in Exhibit 5.1 hereto)</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4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24.</w:t>
            </w:r>
            <w:r>
              <w:rPr>
                <w:rFonts w:ascii="Times New Roman" w:cs="Times New Roman" w:eastAsia="Times New Roman" w:hAnsi="Times New Roman"/>
                <w:sz w:val="18"/>
                <w:szCs w:val="18"/>
                <w:u w:val="single" w:color="auto"/>
                <w:color w:val="0000EE"/>
                <w:w w:val="98"/>
              </w:rPr>
              <w:t>1*</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Power of Attorney (included on signature page hereto)</w:t>
            </w:r>
          </w:p>
        </w:tc>
        <w:tc>
          <w:tcPr>
            <w:tcW w:w="2220" w:type="dxa"/>
            <w:vAlign w:val="bottom"/>
            <w:gridSpan w:val="7"/>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77"/>
              </w:rPr>
              <w:t>107*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1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Filing Fee Table</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87" w:lineRule="exact"/>
        <w:rPr>
          <w:sz w:val="20"/>
          <w:szCs w:val="20"/>
          <w:color w:val="auto"/>
        </w:rPr>
      </w:pPr>
    </w:p>
    <w:p>
      <w:pPr>
        <w:ind w:left="680" w:hanging="575"/>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referenced form and incorporated by reference herein.</w:t>
      </w:r>
    </w:p>
    <w:p>
      <w:pPr>
        <w:spacing w:after="0" w:line="117"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 w:name="page10"/>
    <w:bookmarkEnd w:id="9"/>
    <w:p>
      <w:pPr>
        <w:ind w:left="10400"/>
        <w:spacing w:after="0"/>
        <w:rPr>
          <w:sz w:val="20"/>
          <w:szCs w:val="20"/>
          <w:color w:val="auto"/>
        </w:rPr>
      </w:pPr>
      <w:r>
        <w:rPr>
          <w:rFonts w:ascii="Times New Roman" w:cs="Times New Roman" w:eastAsia="Times New Roman" w:hAnsi="Times New Roman"/>
          <w:sz w:val="18"/>
          <w:szCs w:val="18"/>
          <w:color w:val="auto"/>
        </w:rPr>
        <w:t>Exhibit 5.1</w:t>
      </w:r>
    </w:p>
    <w:p>
      <w:pPr>
        <w:spacing w:after="0" w:line="24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3"/>
          <w:szCs w:val="13"/>
          <w:color w:val="3A547C"/>
        </w:rPr>
        <w:t>Stradling Yocca Carlson &amp; Rauth LLP</w:t>
      </w:r>
    </w:p>
    <w:p>
      <w:pPr>
        <w:spacing w:after="0" w:line="40"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3"/>
          <w:szCs w:val="13"/>
          <w:color w:val="3A547C"/>
        </w:rPr>
        <w:t>660 Newport Center Drive, Suite 1600</w:t>
      </w:r>
    </w:p>
    <w:p>
      <w:pPr>
        <w:spacing w:after="0" w:line="40"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3"/>
          <w:szCs w:val="13"/>
          <w:color w:val="3A547C"/>
        </w:rPr>
        <w:t>Newport Beach, CA 92660-6422</w:t>
      </w:r>
    </w:p>
    <w:p>
      <w:pPr>
        <w:spacing w:after="0" w:line="40"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3"/>
          <w:szCs w:val="13"/>
          <w:color w:val="3A547C"/>
        </w:rPr>
        <w:t>949 725 4000</w:t>
      </w:r>
    </w:p>
    <w:p>
      <w:pPr>
        <w:spacing w:after="0" w:line="40"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3"/>
          <w:szCs w:val="13"/>
          <w:color w:val="3A547C"/>
        </w:rPr>
        <w:t>stradlinglaw.com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89154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89154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26,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Expion360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SW Deerhound 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Redmond, OR 97756</w:t>
      </w:r>
    </w:p>
    <w:p>
      <w:pPr>
        <w:spacing w:after="0" w:line="164"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i w:val="1"/>
          <w:iCs w:val="1"/>
          <w:color w:val="auto"/>
        </w:rPr>
        <w:t>Registration Statement on Form S-8</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have requested our opinion with respect to certain matters in connection with the filing by Expion360 Inc.,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of a Registration Statement on Form S-8 (as such may be amended or supplemented from time to time,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on the date hereof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The Registration Statement covers the offer, issuance and sale of an aggregate of 492,487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which includes (i) 489,086 shares of Common Stock reserved for issuance under the Expion360 Inc. 2021 Incentive Award Plan (the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pursuant to the evergreen provision set forth in the 2021 Plan reflecting the automatic annual increase effective as of January 1, 2026, and (ii) 3,401 shares of Common Stock reserved for issuance under the 2021 Plan pursuant to the evergreen provision set forth in the 2021 Plan reflecting the automatic annual increase effective as of January 1, 2023.</w:t>
      </w:r>
    </w:p>
    <w:p>
      <w:pPr>
        <w:spacing w:after="0" w:line="1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this opinion, we have examined such documents and considered such questions of law as we have deemed necessary or appropriate. We have assumed the genuineness of all signatures, the authenticity of all documents submitted to us as originals, and the conformity to originals of all documents submitted to us as copies. As to certain factual matters, we have relied upon a certificate of an officer of the Company and have not independently verified such matters.</w:t>
      </w:r>
    </w:p>
    <w:p>
      <w:pPr>
        <w:spacing w:after="0" w:line="1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the Shares, when issued and sold in accordance with the terms of the 2021 Plan, and the related award agreements, will be validly issued, fully paid and non-assessable.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Nevada. We express no opinion to the extent that any other laws are applicable to the subject matter hereof, and express no opinion and provide no assurance as to compliance with any federal or state securities law, rule or regulation.</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use of this opinion as Exhibit 5.1 to the Registration Statement, and to the reference to our firm in the Registration Statement and any amendments or supplements thereto. In giving such consent, we do not admit that we are within the category of persons whose consent is required under Section 7 of the Securities Act or the rules and regulations thereunder.</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opinion is intended solely for use in connection with the issuance and sale of the Shares pursuant to the Registration Statement and is not to be relied upon for any other purpose or delivered to or relied upon by any other person without our prior written consent. This opinion is rendered as of the date hereof and based solely on our understanding of facts in existence as of such date after the examination described in this opinion. We assume no obligation to advise you of any fact, circumstance, event or change in the law or the facts that may hereafter be brought to our attention whether or not such occurrence would affect or modify the opinions expressed herein.</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STRADLING YOCCA CARLSON &amp; RAUTH LLP</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Stradling Yocca Carlson &amp; Rauth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17145</wp:posOffset>
            </wp:positionV>
            <wp:extent cx="3977640" cy="780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397764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our report dated March 16, 2026, which appeared in the Expion360, Inc. Annual report on form 10-K relating to the audits of the financial statements as of December 31, 2025 and 2024 and for the periods then ended. We also consent to the reference to our firm under the caption “Experts” in the Registration Statement.</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M&amp;K CPAs, PLLC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Woodlands, TX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10360"/>
        <w:spacing w:after="0"/>
        <w:rPr>
          <w:sz w:val="20"/>
          <w:szCs w:val="20"/>
          <w:color w:val="auto"/>
        </w:rPr>
      </w:pPr>
      <w:r>
        <w:rPr>
          <w:rFonts w:ascii="Times New Roman" w:cs="Times New Roman" w:eastAsia="Times New Roman" w:hAnsi="Times New Roman"/>
          <w:sz w:val="18"/>
          <w:szCs w:val="18"/>
          <w:color w:val="auto"/>
        </w:rPr>
        <w:t>Exhibit 107</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1: Newly Registered Securities</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Fee</w:t>
            </w: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line="20" w:lineRule="exact"/>
              <w:rPr>
                <w:sz w:val="1"/>
                <w:szCs w:val="1"/>
                <w:color w:val="auto"/>
              </w:rPr>
            </w:pPr>
          </w:p>
        </w:tc>
      </w:tr>
      <w:tr>
        <w:trPr>
          <w:trHeight w:val="444"/>
        </w:trPr>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6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Security</w:t>
            </w: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Calculation</w:t>
            </w: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Proposed Maximum</w:t>
            </w:r>
          </w:p>
        </w:tc>
        <w:tc>
          <w:tcPr>
            <w:tcW w:w="200" w:type="dxa"/>
            <w:vAlign w:val="bottom"/>
          </w:tcPr>
          <w:p>
            <w:pPr>
              <w:spacing w:after="0"/>
              <w:rPr>
                <w:sz w:val="16"/>
                <w:szCs w:val="16"/>
                <w:color w:val="auto"/>
              </w:rPr>
            </w:pPr>
          </w:p>
        </w:tc>
        <w:tc>
          <w:tcPr>
            <w:tcW w:w="17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rPr>
              <w:t>Maximum Aggregate</w:t>
            </w:r>
          </w:p>
        </w:tc>
        <w:tc>
          <w:tcPr>
            <w:tcW w:w="80" w:type="dxa"/>
            <w:vAlign w:val="bottom"/>
          </w:tcPr>
          <w:p>
            <w:pPr>
              <w:spacing w:after="0"/>
              <w:rPr>
                <w:sz w:val="16"/>
                <w:szCs w:val="16"/>
                <w:color w:val="auto"/>
              </w:rPr>
            </w:pPr>
          </w:p>
        </w:tc>
        <w:tc>
          <w:tcPr>
            <w:tcW w:w="780" w:type="dxa"/>
            <w:vAlign w:val="bottom"/>
            <w:gridSpan w:val="2"/>
          </w:tcPr>
          <w:p>
            <w:pPr>
              <w:jc w:val="right"/>
              <w:ind w:right="360"/>
              <w:spacing w:after="0" w:line="184" w:lineRule="exact"/>
              <w:rPr>
                <w:sz w:val="20"/>
                <w:szCs w:val="20"/>
                <w:color w:val="auto"/>
              </w:rPr>
            </w:pPr>
            <w:r>
              <w:rPr>
                <w:rFonts w:ascii="Times New Roman" w:cs="Times New Roman" w:eastAsia="Times New Roman" w:hAnsi="Times New Roman"/>
                <w:sz w:val="18"/>
                <w:szCs w:val="18"/>
                <w:b w:val="1"/>
                <w:bCs w:val="1"/>
                <w:color w:val="auto"/>
              </w:rPr>
              <w:t>Fee</w:t>
            </w:r>
          </w:p>
        </w:tc>
        <w:tc>
          <w:tcPr>
            <w:tcW w:w="1160" w:type="dxa"/>
            <w:vAlign w:val="bottom"/>
            <w:gridSpan w:val="3"/>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8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80" w:type="dxa"/>
            <w:vAlign w:val="bottom"/>
          </w:tcPr>
          <w:p>
            <w:pPr>
              <w:spacing w:after="0"/>
              <w:rPr>
                <w:sz w:val="23"/>
                <w:szCs w:val="23"/>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980" w:type="dxa"/>
            <w:vAlign w:val="bottom"/>
            <w:gridSpan w:val="2"/>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3"/>
              </w:rPr>
              <w:t>Registered</w:t>
            </w:r>
            <w:r>
              <w:rPr>
                <w:rFonts w:ascii="Times New Roman" w:cs="Times New Roman" w:eastAsia="Times New Roman" w:hAnsi="Times New Roman"/>
                <w:sz w:val="29"/>
                <w:szCs w:val="29"/>
                <w:b w:val="1"/>
                <w:bCs w:val="1"/>
                <w:color w:val="auto"/>
                <w:w w:val="93"/>
                <w:vertAlign w:val="superscript"/>
              </w:rPr>
              <w:t>(1)</w:t>
            </w:r>
          </w:p>
        </w:tc>
        <w:tc>
          <w:tcPr>
            <w:tcW w:w="200" w:type="dxa"/>
            <w:vAlign w:val="bottom"/>
          </w:tcPr>
          <w:p>
            <w:pPr>
              <w:spacing w:after="0"/>
              <w:rPr>
                <w:sz w:val="23"/>
                <w:szCs w:val="23"/>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 Per Share</w:t>
            </w:r>
          </w:p>
        </w:tc>
        <w:tc>
          <w:tcPr>
            <w:tcW w:w="200" w:type="dxa"/>
            <w:vAlign w:val="bottom"/>
          </w:tcPr>
          <w:p>
            <w:pPr>
              <w:spacing w:after="0"/>
              <w:rPr>
                <w:sz w:val="23"/>
                <w:szCs w:val="23"/>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80" w:type="dxa"/>
            <w:vAlign w:val="bottom"/>
          </w:tcPr>
          <w:p>
            <w:pPr>
              <w:spacing w:after="0"/>
              <w:rPr>
                <w:sz w:val="23"/>
                <w:szCs w:val="23"/>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Fee</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83" w:lineRule="exact"/>
              <w:rPr>
                <w:sz w:val="20"/>
                <w:szCs w:val="20"/>
                <w:color w:val="auto"/>
              </w:rPr>
            </w:pPr>
            <w:r>
              <w:rPr>
                <w:rFonts w:ascii="Times New Roman" w:cs="Times New Roman" w:eastAsia="Times New Roman" w:hAnsi="Times New Roman"/>
                <w:sz w:val="18"/>
                <w:szCs w:val="18"/>
                <w:color w:val="auto"/>
                <w:w w:val="99"/>
              </w:rPr>
              <w:t>Equity</w:t>
            </w:r>
          </w:p>
        </w:tc>
        <w:tc>
          <w:tcPr>
            <w:tcW w:w="3240" w:type="dxa"/>
            <w:vAlign w:val="bottom"/>
            <w:gridSpan w:val="5"/>
            <w:shd w:val="clear" w:color="auto" w:fill="CCEEFF"/>
          </w:tcPr>
          <w:p>
            <w:pPr>
              <w:ind w:left="120"/>
              <w:spacing w:after="0" w:line="183" w:lineRule="exact"/>
              <w:rPr>
                <w:sz w:val="20"/>
                <w:szCs w:val="20"/>
                <w:color w:val="auto"/>
              </w:rPr>
            </w:pPr>
            <w:r>
              <w:rPr>
                <w:rFonts w:ascii="Times New Roman" w:cs="Times New Roman" w:eastAsia="Times New Roman" w:hAnsi="Times New Roman"/>
                <w:sz w:val="18"/>
                <w:szCs w:val="18"/>
                <w:color w:val="auto"/>
              </w:rPr>
              <w:t>Common Stock, par value 457(c) and (h)</w:t>
            </w:r>
          </w:p>
        </w:tc>
        <w:tc>
          <w:tcPr>
            <w:tcW w:w="980" w:type="dxa"/>
            <w:vAlign w:val="bottom"/>
            <w:gridSpan w:val="2"/>
            <w:shd w:val="clear" w:color="auto" w:fill="CCEEFF"/>
          </w:tcPr>
          <w:p>
            <w:pPr>
              <w:jc w:val="center"/>
              <w:spacing w:after="0" w:line="183" w:lineRule="exact"/>
              <w:rPr>
                <w:sz w:val="20"/>
                <w:szCs w:val="20"/>
                <w:color w:val="auto"/>
              </w:rPr>
            </w:pPr>
            <w:r>
              <w:rPr>
                <w:rFonts w:ascii="Times New Roman" w:cs="Times New Roman" w:eastAsia="Times New Roman" w:hAnsi="Times New Roman"/>
                <w:sz w:val="14"/>
                <w:szCs w:val="14"/>
                <w:color w:val="auto"/>
              </w:rPr>
              <w:t>492,487</w:t>
            </w:r>
            <w:r>
              <w:rPr>
                <w:rFonts w:ascii="Times New Roman" w:cs="Times New Roman" w:eastAsia="Times New Roman" w:hAnsi="Times New Roman"/>
                <w:sz w:val="21"/>
                <w:szCs w:val="21"/>
                <w:color w:val="auto"/>
                <w:vertAlign w:val="superscript"/>
              </w:rPr>
              <w:t>(2)</w:t>
            </w:r>
          </w:p>
        </w:tc>
        <w:tc>
          <w:tcPr>
            <w:tcW w:w="1980" w:type="dxa"/>
            <w:vAlign w:val="bottom"/>
            <w:gridSpan w:val="2"/>
            <w:shd w:val="clear" w:color="auto" w:fill="CCEEFF"/>
          </w:tcPr>
          <w:p>
            <w:pPr>
              <w:jc w:val="center"/>
              <w:ind w:left="450"/>
              <w:spacing w:after="0" w:line="183" w:lineRule="exact"/>
              <w:rPr>
                <w:sz w:val="20"/>
                <w:szCs w:val="20"/>
                <w:color w:val="auto"/>
              </w:rPr>
            </w:pPr>
            <w:r>
              <w:rPr>
                <w:rFonts w:ascii="Times New Roman" w:cs="Times New Roman" w:eastAsia="Times New Roman" w:hAnsi="Times New Roman"/>
                <w:sz w:val="14"/>
                <w:szCs w:val="14"/>
                <w:color w:val="auto"/>
              </w:rPr>
              <w:t>$0.58</w:t>
            </w:r>
            <w:r>
              <w:rPr>
                <w:rFonts w:ascii="Times New Roman" w:cs="Times New Roman" w:eastAsia="Times New Roman" w:hAnsi="Times New Roman"/>
                <w:sz w:val="21"/>
                <w:szCs w:val="21"/>
                <w:color w:val="auto"/>
                <w:vertAlign w:val="superscript"/>
              </w:rPr>
              <w:t>(3)</w:t>
            </w:r>
          </w:p>
        </w:tc>
        <w:tc>
          <w:tcPr>
            <w:tcW w:w="3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center"/>
              <w:ind w:left="90"/>
              <w:spacing w:after="0" w:line="183" w:lineRule="exact"/>
              <w:rPr>
                <w:sz w:val="20"/>
                <w:szCs w:val="20"/>
                <w:color w:val="auto"/>
              </w:rPr>
            </w:pPr>
            <w:r>
              <w:rPr>
                <w:rFonts w:ascii="Times New Roman" w:cs="Times New Roman" w:eastAsia="Times New Roman" w:hAnsi="Times New Roman"/>
                <w:sz w:val="18"/>
                <w:szCs w:val="18"/>
                <w:color w:val="auto"/>
              </w:rPr>
              <w:t>$285,643</w:t>
            </w:r>
          </w:p>
        </w:tc>
        <w:tc>
          <w:tcPr>
            <w:tcW w:w="10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00"/>
              <w:spacing w:after="0" w:line="183" w:lineRule="exact"/>
              <w:rPr>
                <w:sz w:val="20"/>
                <w:szCs w:val="20"/>
                <w:color w:val="auto"/>
              </w:rPr>
            </w:pPr>
            <w:r>
              <w:rPr>
                <w:rFonts w:ascii="Times New Roman" w:cs="Times New Roman" w:eastAsia="Times New Roman" w:hAnsi="Times New Roman"/>
                <w:sz w:val="18"/>
                <w:szCs w:val="18"/>
                <w:color w:val="auto"/>
                <w:w w:val="96"/>
              </w:rPr>
              <w:t>0.0001381</w:t>
            </w:r>
          </w:p>
        </w:tc>
        <w:tc>
          <w:tcPr>
            <w:tcW w:w="1140" w:type="dxa"/>
            <w:vAlign w:val="bottom"/>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$39.45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$0.001 per share</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$285,643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840" w:hanging="832"/>
        <w:spacing w:after="0" w:line="249"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this Registration Statement shall also cover any additional shares of the Registrant’s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that become issuable under the Expion360 Inc. 2021 Equity Incentive Plan (the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by reason of any stock dividend, stock split, recapitalization or other similar transaction effected without receipt of consideration that increases the number of outstanding shares of Common Stock.</w:t>
      </w:r>
    </w:p>
    <w:p>
      <w:pPr>
        <w:spacing w:after="0" w:line="3" w:lineRule="exact"/>
        <w:rPr>
          <w:rFonts w:ascii="Times New Roman" w:cs="Times New Roman" w:eastAsia="Times New Roman" w:hAnsi="Times New Roman"/>
          <w:sz w:val="18"/>
          <w:szCs w:val="18"/>
          <w:color w:val="auto"/>
        </w:rPr>
      </w:pPr>
    </w:p>
    <w:p>
      <w:pPr>
        <w:jc w:val="both"/>
        <w:ind w:left="840" w:hanging="832"/>
        <w:spacing w:after="0" w:line="250"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489,086 shares of Common Stock that were automatically added to the shares authorized for issuance under the 2021 Plan on January 1, 2025, and (b) 3,401 shares of Common Stock that were automatically added to the shares authorized for issuance under the 2021 Plan on January 1, 2023, in each case pursuant to the “evergreen” provision contained in the 2021 Plan. Under such “evergreen” provision, on January 1st of each year, the number of shares reserved for issuance under the 2021 Plan automatically increases in an amount equal to (i) 5% of the aggregate number of shares of Common Stock outstanding on December 31st of the immediately preceding year or (ii) a lesser number of shares as determined by the board of directors.</w:t>
      </w:r>
    </w:p>
    <w:p>
      <w:pPr>
        <w:spacing w:after="0" w:line="2" w:lineRule="exact"/>
        <w:rPr>
          <w:rFonts w:ascii="Times New Roman" w:cs="Times New Roman" w:eastAsia="Times New Roman" w:hAnsi="Times New Roman"/>
          <w:sz w:val="18"/>
          <w:szCs w:val="18"/>
          <w:color w:val="auto"/>
        </w:rPr>
      </w:pPr>
    </w:p>
    <w:p>
      <w:pPr>
        <w:jc w:val="both"/>
        <w:ind w:left="840" w:hanging="832"/>
        <w:spacing w:after="0" w:line="253"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Rules 457(c) and 457(h) of the Securities Act. The proposed maximum offering price per share and the proposed maximum aggregate offering price with respect to the shares are calculated based on $0.58 per share, the average of the high ($0.605) and low ($0.556) prices of the Common Stock, as reported on the Nasdaq Capital Market on March 20, 2026, a date within five business days prior to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3D1B58BA"/>
    <w:multiLevelType w:val="hybridMultilevel"/>
    <w:lvl w:ilvl="0">
      <w:lvlJc w:val="left"/>
      <w:lvlText w:val="%1"/>
      <w:numFmt w:val="lowerLetter"/>
      <w:start w:val="1"/>
    </w:lvl>
    <w:lvl w:ilvl="1">
      <w:lvlJc w:val="left"/>
      <w:lvlText w:val="(%2)"/>
      <w:numFmt w:val="decimal"/>
      <w:start w:val="2"/>
    </w:lvl>
  </w:abstractNum>
  <w:abstractNum w:abstractNumId="4">
    <w:nsid w:val="507ED7AB"/>
    <w:multiLevelType w:val="hybridMultilevel"/>
    <w:lvl w:ilvl="0">
      <w:lvlJc w:val="left"/>
      <w:lvlText w:val="(%1)"/>
      <w:numFmt w:val="lowerLetter"/>
      <w:start w:val="2"/>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jpeg"/><Relationship Id="rId26" Type="http://schemas.openxmlformats.org/officeDocument/2006/relationships/image" Target="media/image11.png"/><Relationship Id="rId27" Type="http://schemas.openxmlformats.org/officeDocument/2006/relationships/image" Target="media/image12.jpe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16" Type="http://schemas.openxmlformats.org/officeDocument/2006/relationships/hyperlink" Target="https://www.sec.gov/Archives/edgar/data/1894954/000190359622000125/f2sexpion121721s1ex3_1.htm" TargetMode="External"/><Relationship Id="rId17" Type="http://schemas.openxmlformats.org/officeDocument/2006/relationships/hyperlink" Target="https://www.sec.gov/Archives/edgar/data/1894954/000190359624000610/ex3_1.htm" TargetMode="External"/><Relationship Id="rId18" Type="http://schemas.openxmlformats.org/officeDocument/2006/relationships/hyperlink" Target="https://www.sec.gov/Archives/edgar/data/1894954/000190359624000561/ex3_1.htm" TargetMode="External"/><Relationship Id="rId19" Type="http://schemas.openxmlformats.org/officeDocument/2006/relationships/hyperlink" Target="https://www.sec.gov/Archives/edgar/data/1894954/000190359622000125/f2sexpion121721s1ex10_2.htm" TargetMode="External"/><Relationship Id="rId20" Type="http://schemas.openxmlformats.org/officeDocument/2006/relationships/hyperlink" Target="https://www.sec.gov/Archives/edgar/data/1894954/000190359624000170/ex10_3.htm" TargetMode="External"/><Relationship Id="rId21" Type="http://schemas.openxmlformats.org/officeDocument/2006/relationships/hyperlink" Target="https://www.sec.gov/ix?doc=/Archives/edgar/data/1894954/000114036125022824/edge20048901x1_def14a.htm#tAPPA" TargetMode="External"/><Relationship Id="rId22" Type="http://schemas.openxmlformats.org/officeDocument/2006/relationships/hyperlink" Target="https://www.sec.gov/Archives/edgar/data/1894954/000190359625000159/ex10_3.htm" TargetMode="External"/><Relationship Id="rId23" Type="http://schemas.openxmlformats.org/officeDocument/2006/relationships/hyperlink" Target="https://www.sec.gov/Archives/edgar/data/1894954/000190359625000390/ex10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2026-03-26T12:06:21Z</dcterms:created>
  <dcterms:modified xsi:type="dcterms:W3CDTF">2026-03-26T12:06:21Z</dcterms:modified>
</cp:coreProperties>
</file>