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8k.htm"/>
      <w:bookmarkStart w:id="1" w:name="ksxpon_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80" w:after="80"/>
        <w:ind w:left="80" w:right="8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WASHINGTON, D.C. 20549</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120"/>
        <w:ind w:left="240" w:right="240" w:hanging="0"/>
        <w:jc w:val="center"/>
        <w:rPr>
          <w:rFonts w:ascii="Times New Roman;Times;Serif" w:hAnsi="Times New Roman;Times;Serif"/>
          <w:b/>
          <w:sz w:val="20"/>
        </w:rPr>
      </w:pPr>
      <w:r>
        <w:rPr>
          <w:rFonts w:ascii="Times New Roman;Times;Serif" w:hAnsi="Times New Roman;Times;Serif"/>
          <w:b/>
          <w:sz w:val="20"/>
        </w:rPr>
        <w:t xml:space="preserve">FORM </w:t>
      </w:r>
      <w:bookmarkStart w:id="2" w:name="xdx_905_edei--DocumentType_c20261022__20"/>
      <w:bookmarkEnd w:id="2"/>
      <w:r>
        <w:rPr>
          <w:rFonts w:ascii="Times New Roman;Times;Serif" w:hAnsi="Times New Roman;Times;Serif"/>
          <w:b/>
          <w:sz w:val="20"/>
        </w:rPr>
        <w:t>8-K</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240"/>
        <w:ind w:left="240" w:right="240" w:hanging="0"/>
        <w:jc w:val="center"/>
        <w:rPr>
          <w:rFonts w:ascii="Times New Roman;Times;Serif" w:hAnsi="Times New Roman;Times;Serif"/>
          <w:b/>
          <w:sz w:val="20"/>
        </w:rPr>
      </w:pPr>
      <w:r>
        <w:rPr>
          <w:rFonts w:ascii="Times New Roman;Times;Serif" w:hAnsi="Times New Roman;Times;Serif"/>
          <w:b/>
          <w:sz w:val="20"/>
        </w:rPr>
        <w:t xml:space="preserve">Date of Report (Date of earliest event reported): </w:t>
      </w:r>
      <w:bookmarkStart w:id="3" w:name="xdx_907_edei--DocumentPeriodEndDate_c202"/>
      <w:bookmarkEnd w:id="3"/>
      <w:r>
        <w:rPr>
          <w:rFonts w:ascii="Times New Roman;Times;Serif" w:hAnsi="Times New Roman;Times;Serif"/>
          <w:b/>
          <w:sz w:val="20"/>
        </w:rPr>
        <w:t>October 22, 2026</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120" w:after="120"/>
        <w:ind w:left="120" w:right="120" w:hanging="0"/>
        <w:jc w:val="center"/>
        <w:rPr>
          <w:rFonts w:ascii="Times New Roman;Times;Serif" w:hAnsi="Times New Roman;Times;Serif"/>
          <w:b/>
          <w:sz w:val="20"/>
        </w:rPr>
      </w:pPr>
      <w:bookmarkStart w:id="4" w:name="xdx_907_edei--EntityRegistrantName_c2026"/>
      <w:bookmarkEnd w:id="4"/>
      <w:r>
        <w:rPr>
          <w:rFonts w:ascii="Times New Roman;Times;Serif" w:hAnsi="Times New Roman;Times;Serif"/>
          <w:b/>
          <w:sz w:val="20"/>
        </w:rPr>
        <w:t>Expion Energy, Inc.</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40" w:after="40"/>
        <w:ind w:left="40" w:right="40" w:hanging="0"/>
        <w:jc w:val="left"/>
        <w:rPr/>
      </w:pPr>
      <w:r>
        <w:rPr/>
        <w:t> </w:t>
      </w:r>
    </w:p>
    <w:tbl>
      <w:tblPr>
        <w:tblW w:w="5325" w:type="dxa"/>
        <w:jc w:val="left"/>
        <w:tblInd w:w="0" w:type="dxa"/>
        <w:tblLayout w:type="fixed"/>
        <w:tblCellMar>
          <w:top w:w="0" w:type="dxa"/>
          <w:left w:w="0" w:type="dxa"/>
          <w:bottom w:w="0" w:type="dxa"/>
          <w:right w:w="0" w:type="dxa"/>
        </w:tblCellMar>
      </w:tblPr>
      <w:tblGrid>
        <w:gridCol w:w="2435"/>
        <w:gridCol w:w="60"/>
        <w:gridCol w:w="1205"/>
        <w:gridCol w:w="60"/>
        <w:gridCol w:w="1565"/>
      </w:tblGrid>
      <w:tr>
        <w:trPr/>
        <w:tc>
          <w:tcPr>
            <w:tcW w:w="2435" w:type="dxa"/>
            <w:tcBorders/>
            <w:vAlign w:val="center"/>
          </w:tcPr>
          <w:p>
            <w:pPr>
              <w:pStyle w:val="TableContents"/>
              <w:bidi w:val="0"/>
              <w:spacing w:lineRule="auto" w:line="273"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lineRule="auto" w:line="273" w:before="0" w:after="283"/>
              <w:jc w:val="center"/>
              <w:rPr>
                <w:rFonts w:ascii="Times New Roman;Times;Serif" w:hAnsi="Times New Roman;Times;Serif"/>
                <w:b/>
                <w:sz w:val="20"/>
              </w:rPr>
            </w:pPr>
            <w:bookmarkStart w:id="6" w:name="xdx_907_edei--EntityFileNumber_c20261022"/>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uto" w:line="273"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81-2701049</w:t>
            </w:r>
          </w:p>
        </w:tc>
      </w:tr>
      <w:tr>
        <w:trPr/>
        <w:tc>
          <w:tcPr>
            <w:tcW w:w="243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75" w:after="75"/>
              <w:ind w:left="75" w:right="75"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jc w:val="center"/>
        <w:rPr/>
      </w:pPr>
      <w:r>
        <w:rPr/>
        <w:t> </w:t>
      </w:r>
    </w:p>
    <w:p>
      <w:pPr>
        <w:pStyle w:val="TextBody"/>
        <w:bidi w:val="0"/>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2025 SW Deerhound Avenue</w:t>
      </w:r>
    </w:p>
    <w:p>
      <w:pPr>
        <w:pStyle w:val="TextBody"/>
        <w:bidi w:val="0"/>
        <w:jc w:val="center"/>
        <w:rPr>
          <w:rFonts w:ascii="Times New Roman;Times;Serif" w:hAnsi="Times New Roman;Times;Serif"/>
          <w:b/>
          <w:sz w:val="20"/>
        </w:rPr>
      </w:pPr>
      <w:bookmarkStart w:id="9" w:name="xdx_90D_edei--EntityAddressCityOrTown_c2"/>
      <w:bookmarkEnd w:id="9"/>
      <w:r>
        <w:rPr>
          <w:rFonts w:ascii="Times New Roman;Times;Serif" w:hAnsi="Times New Roman;Times;Serif"/>
          <w:b/>
          <w:sz w:val="20"/>
        </w:rPr>
        <w:t xml:space="preserve">Redmond, </w:t>
      </w:r>
      <w:bookmarkStart w:id="10" w:name="xdx_90C_edei--EntityAddressStateOrProvin"/>
      <w:bookmarkEnd w:id="10"/>
      <w:r>
        <w:rPr>
          <w:rFonts w:ascii="Times New Roman;Times;Serif" w:hAnsi="Times New Roman;Times;Serif"/>
          <w:b/>
          <w:sz w:val="20"/>
        </w:rPr>
        <w:t xml:space="preserve">OR </w:t>
      </w:r>
      <w:bookmarkStart w:id="11" w:name="xdx_908_edei--EntityAddressPostalZipCode"/>
      <w:bookmarkEnd w:id="11"/>
      <w:r>
        <w:rPr>
          <w:rFonts w:ascii="Times New Roman;Times;Serif" w:hAnsi="Times New Roman;Times;Serif"/>
          <w:b/>
          <w:sz w:val="20"/>
        </w:rPr>
        <w:t>97756</w:t>
      </w:r>
    </w:p>
    <w:p>
      <w:pPr>
        <w:pStyle w:val="TextBody"/>
        <w:bidi w:val="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240" w:after="240"/>
        <w:ind w:left="240" w:right="240" w:hanging="0"/>
        <w:jc w:val="center"/>
        <w:rPr>
          <w:rFonts w:ascii="Times New Roman;Times;Serif" w:hAnsi="Times New Roman;Times;Serif"/>
          <w:b/>
          <w:sz w:val="20"/>
        </w:rPr>
      </w:pPr>
      <w:bookmarkStart w:id="12" w:name="xdx_908_edei--CityAreaCode_c20261022__20"/>
      <w:bookmarkEnd w:id="12"/>
      <w:r>
        <w:rPr>
          <w:rFonts w:ascii="Times New Roman;Times;Serif" w:hAnsi="Times New Roman;Times;Serif"/>
          <w:b/>
          <w:sz w:val="20"/>
        </w:rPr>
        <w:t xml:space="preserve">(541) </w:t>
      </w:r>
      <w:bookmarkStart w:id="13" w:name="xdx_900_edei--LocalPhoneNumber_c20261022"/>
      <w:bookmarkEnd w:id="13"/>
      <w:r>
        <w:rPr>
          <w:rFonts w:ascii="Times New Roman;Times;Serif" w:hAnsi="Times New Roman;Times;Serif"/>
          <w:b/>
          <w:sz w:val="20"/>
        </w:rPr>
        <w:t>797-6714</w:t>
      </w:r>
    </w:p>
    <w:p>
      <w:pPr>
        <w:pStyle w:val="TextBody"/>
        <w:bidi w:val="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240" w:after="240"/>
        <w:ind w:left="240" w:right="240" w:hanging="0"/>
        <w:jc w:val="center"/>
        <w:rPr>
          <w:rFonts w:ascii="Times New Roman;Times;Serif" w:hAnsi="Times New Roman;Times;Serif"/>
          <w:b/>
          <w:sz w:val="20"/>
        </w:rPr>
      </w:pPr>
      <w:bookmarkStart w:id="14" w:name="xdx_90D_edei--EntityInformationFormerLeg"/>
      <w:bookmarkEnd w:id="14"/>
      <w:r>
        <w:rPr>
          <w:rFonts w:ascii="Times New Roman;Times;Serif" w:hAnsi="Times New Roman;Times;Serif"/>
          <w:b/>
          <w:sz w:val="20"/>
        </w:rPr>
        <w:t>N/A</w:t>
      </w:r>
    </w:p>
    <w:p>
      <w:pPr>
        <w:pStyle w:val="TextBody"/>
        <w:bidi w:val="0"/>
        <w:spacing w:before="0" w:after="12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5" w:name="xdx_901_edei--WrittenCommunications_c202"/>
            <w:bookmarkEnd w:id="15"/>
            <w:r>
              <w:rPr/>
              <w:t>☐</w:t>
            </w:r>
          </w:p>
        </w:tc>
        <w:tc>
          <w:tcPr>
            <w:tcW w:w="729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6" w:name="xdx_90F_edei--SolicitingMaterial_c202610"/>
            <w:bookmarkEnd w:id="16"/>
            <w:r>
              <w:rPr/>
              <w:t>☒</w:t>
            </w:r>
          </w:p>
        </w:tc>
        <w:tc>
          <w:tcPr>
            <w:tcW w:w="732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7" w:name="xdx_90E_edei--PreCommencementTenderOffer"/>
            <w:bookmarkEnd w:id="17"/>
            <w:r>
              <w:rPr/>
              <w:t>☐</w:t>
            </w:r>
          </w:p>
        </w:tc>
        <w:tc>
          <w:tcPr>
            <w:tcW w:w="906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uto" w:line="273" w:before="0" w:after="283"/>
              <w:jc w:val="left"/>
              <w:rPr/>
            </w:pPr>
            <w:bookmarkStart w:id="18" w:name="xdx_908_edei--PreCommencementIssuerTende"/>
            <w:bookmarkEnd w:id="18"/>
            <w:r>
              <w:rPr/>
              <w:t>☐</w:t>
            </w:r>
          </w:p>
        </w:tc>
        <w:tc>
          <w:tcPr>
            <w:tcW w:w="9005" w:type="dxa"/>
            <w:tcBorders/>
            <w:vAlign w:val="center"/>
          </w:tcPr>
          <w:p>
            <w:pPr>
              <w:pStyle w:val="TableContents"/>
              <w:bidi w:val="0"/>
              <w:spacing w:lineRule="auto" w:line="273"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120"/>
        <w:jc w:val="left"/>
        <w:rPr>
          <w:rFonts w:ascii="Times New Roman;Times;Serif" w:hAnsi="Times New Roman;Times;Serif"/>
          <w:sz w:val="20"/>
        </w:rPr>
      </w:pPr>
      <w:r>
        <w:rPr>
          <w:rFonts w:ascii="Times New Roman;Times;Serif" w:hAnsi="Times New Roman;Times;Serif"/>
          <w:sz w:val="20"/>
        </w:rPr>
        <w:t>Securities registered pursuant to Section 12(b) of the Act: </w:t>
      </w:r>
    </w:p>
    <w:tbl>
      <w:tblPr>
        <w:tblW w:w="7050" w:type="dxa"/>
        <w:jc w:val="left"/>
        <w:tblInd w:w="0" w:type="dxa"/>
        <w:tblLayout w:type="fixed"/>
        <w:tblCellMar>
          <w:top w:w="0" w:type="dxa"/>
          <w:left w:w="0" w:type="dxa"/>
          <w:bottom w:w="30" w:type="dxa"/>
          <w:right w:w="0" w:type="dxa"/>
        </w:tblCellMar>
      </w:tblPr>
      <w:tblGrid>
        <w:gridCol w:w="3680"/>
        <w:gridCol w:w="60"/>
        <w:gridCol w:w="860"/>
        <w:gridCol w:w="60"/>
        <w:gridCol w:w="2390"/>
      </w:tblGrid>
      <w:tr>
        <w:trPr/>
        <w:tc>
          <w:tcPr>
            <w:tcW w:w="3680" w:type="dxa"/>
            <w:tcBorders>
              <w:bottom w:val="single" w:sz="8" w:space="0" w:color="000000"/>
            </w:tcBorders>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75" w:after="20"/>
              <w:ind w:left="75" w:right="75" w:hanging="0"/>
              <w:jc w:val="center"/>
              <w:rPr>
                <w:rFonts w:ascii="Times New Roman;Times;Serif" w:hAnsi="Times New Roman;Times;Serif"/>
                <w:b/>
                <w:sz w:val="20"/>
              </w:rPr>
            </w:pPr>
            <w:r>
              <w:rPr>
                <w:rFonts w:ascii="Times New Roman;Times;Serif" w:hAnsi="Times New Roman;Times;Serif"/>
                <w:b/>
                <w:sz w:val="20"/>
              </w:rPr>
              <w:t>Name of each exchange</w:t>
            </w:r>
          </w:p>
          <w:p>
            <w:pPr>
              <w:pStyle w:val="TableContents"/>
              <w:bidi w:val="0"/>
              <w:spacing w:before="0" w:after="30"/>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68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19" w:name="xdx_90F_edei--Security12bTitle_c20261022"/>
            <w:bookmarkEnd w:id="19"/>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bookmarkStart w:id="20" w:name="xdx_906_edei--TradingSymbol_c20261022__2"/>
            <w:bookmarkEnd w:id="20"/>
            <w:r>
              <w:rPr>
                <w:rFonts w:ascii="Times New Roman;Times;Serif" w:hAnsi="Times New Roman;Times;Serif"/>
                <w:b/>
                <w:sz w:val="20"/>
              </w:rPr>
              <w:t>XPON</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lineRule="auto" w:line="273"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4_edei--SecurityExchangeName_c2026"/>
            <w:bookmarkEnd w:id="21"/>
            <w:r>
              <w:rPr>
                <w:rFonts w:ascii="Times New Roman;Times;Serif" w:hAnsi="Times New Roman;Times;Serif"/>
                <w:b/>
                <w:sz w:val="20"/>
              </w:rPr>
              <w:t>Nasdaq Capital Market</w:t>
            </w:r>
          </w:p>
        </w:tc>
      </w:tr>
    </w:tbl>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240"/>
        <w:ind w:left="240" w:right="240" w:hanging="0"/>
        <w:jc w:val="left"/>
        <w:rPr>
          <w:rFonts w:ascii="Times New Roman;Times;Serif" w:hAnsi="Times New Roman;Times;Serif"/>
          <w:sz w:val="20"/>
        </w:rPr>
      </w:pPr>
      <w:r>
        <w:rPr>
          <w:rFonts w:ascii="Times New Roman;Times;Serif" w:hAnsi="Times New Roman;Times;Serif"/>
          <w:sz w:val="20"/>
        </w:rPr>
        <w:t xml:space="preserve">Emerging growth company </w:t>
      </w:r>
      <w:bookmarkStart w:id="22" w:name="xdx_904_edei--EntityEmergingGrowthCompan"/>
      <w:bookmarkEnd w:id="22"/>
      <w:r>
        <w:rPr>
          <w:rFonts w:ascii="Times New Roman;Times;Serif" w:hAnsi="Times New Roman;Times;Serif"/>
          <w:sz w:val="20"/>
        </w:rPr>
        <w:t>☒</w:t>
      </w:r>
    </w:p>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sz w:val="20"/>
        </w:rPr>
        <w:t>☐</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568" w:type="dxa"/>
        <w:jc w:val="left"/>
        <w:tblInd w:w="0" w:type="dxa"/>
        <w:tblLayout w:type="fixed"/>
        <w:tblCellMar>
          <w:top w:w="0" w:type="dxa"/>
          <w:left w:w="0" w:type="dxa"/>
          <w:bottom w:w="0" w:type="dxa"/>
          <w:right w:w="0" w:type="dxa"/>
        </w:tblCellMar>
      </w:tblPr>
      <w:tblGrid>
        <w:gridCol w:w="38"/>
        <w:gridCol w:w="102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505" w:type="dxa"/>
            <w:tcBorders/>
            <w:vAlign w:val="center"/>
          </w:tcPr>
          <w:p>
            <w:pPr>
              <w:pStyle w:val="TableContents"/>
              <w:bidi w:val="0"/>
              <w:spacing w:before="0" w:after="283"/>
              <w:jc w:val="both"/>
              <w:rPr>
                <w:b/>
              </w:rPr>
            </w:pPr>
            <w:r>
              <w:rPr>
                <w:b/>
              </w:rPr>
              <w:t>Entry Into a Material Definitive Agreement.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and Restatement of Private Placement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Original Private Placement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reported, on August 21, 2026, Expion Energy, Inc. (the “Company”) entered into a securities purchase agreement (the “Purchase Agreement”) with the purchasers identified on the signature pages thereto (the “Purchasers”) pursuant to which the Company issued and sold to the Purchasers (i) 8% Convertible Debentures Due August 21, 2029 in the aggregate principal amount of $9,000,000 (the “Convertible Debentures”), which originally would have automatically converted into 9,000 shares of a series of preferred stock (the “Preferred Stock”) to be designated the Series A-1 8% Convertible Preferred Stock (the “Series A-1 Preferred Stock”) upon receiving stockholder approval of, and filing, a certificate of designation with the Nevada Secretary of State, and (ii) Common Stock Purchase Warrants (the “Warrants”) to purchase up to 2,117,219 shares of the Company’s common stock, par value $0.001 per share (the “Common Stock”). </w:t>
      </w:r>
      <w:r>
        <w:rPr>
          <w:rFonts w:ascii="Times New Roman;Times;Serif" w:hAnsi="Times New Roman;Times;Serif"/>
          <w:b w:val="false"/>
          <w:i w:val="false"/>
          <w:caps w:val="false"/>
          <w:smallCaps w:val="false"/>
          <w:spacing w:val="-3"/>
          <w:sz w:val="20"/>
        </w:rPr>
        <w:t>The Series A-1 Preferred Stock would have subsequently been convertible into shares of Common Stock on the terms set forth in the certificate of designation that was subject to stockholder approval.</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Pursuant to the original Purchase Agreement, subject to receiving stockholder approval, and the filing of an applicable certificate of designation with the Nevada Secretary of State, the Purchasers would have been able to also elect to purchase additional shares of Preferred Stock (the “AIR Preferred Stock”) with an aggregate stated value of up to $91,000,000, representing 91,000 additional shares of AIR Preferred Stock, at any time within 18 months following the effective date defined in the original Purchase Agreement. Such AIR Preferred Stock would have had substantially similar terms to the Series A-1 Preferred Stock issuable upon conversion of the Convertible Debentures.</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caps w:val="false"/>
          <w:smallCaps w:val="false"/>
          <w:spacing w:val="-3"/>
          <w:sz w:val="20"/>
        </w:rPr>
      </w:pPr>
      <w:r>
        <w:rPr>
          <w:rFonts w:ascii="Times New Roman;Times;Serif" w:hAnsi="Times New Roman;Times;Serif"/>
          <w:b w:val="false"/>
          <w:i/>
          <w:caps w:val="false"/>
          <w:smallCaps w:val="false"/>
          <w:spacing w:val="-3"/>
          <w:sz w:val="20"/>
        </w:rPr>
        <w:t xml:space="preserve">Amendment and Restatement of Private Placement Transaction Documents </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 xml:space="preserve">On October 22, 2026, the Company and the Purchasers entered into an amendment and restatement of the Purchase Agreement (“Amended and Restated Purchase Agreement”), and an amendment and restatement of the Convertible Debentures (the “Amended and Restated Convertible Debentures”), such that the Amended and Restated Convertible Debentures are now convertible into shares of Common Stock at an initial conversion price of $4.25 (subject to adjustment as described therein), </w:t>
      </w:r>
      <w:r>
        <w:rPr>
          <w:rFonts w:ascii="Times New Roman;Times;Serif" w:hAnsi="Times New Roman;Times;Serif"/>
          <w:b w:val="false"/>
          <w:i w:val="false"/>
          <w:caps w:val="false"/>
          <w:smallCaps w:val="false"/>
          <w:sz w:val="20"/>
        </w:rPr>
        <w:t>which is equal to what the initial conversion price of the Series A-1 Preferred Stock would have been</w:t>
      </w:r>
      <w:r>
        <w:rPr>
          <w:rFonts w:ascii="Times New Roman;Times;Serif" w:hAnsi="Times New Roman;Times;Serif"/>
          <w:b w:val="false"/>
          <w:i w:val="false"/>
          <w:caps w:val="false"/>
          <w:smallCaps w:val="false"/>
          <w:spacing w:val="-3"/>
          <w:sz w:val="20"/>
        </w:rPr>
        <w:t>. The Company also amended and restated the Warrants (the “Amended and Restated Warrants”) and the Registration Rights Agreement (the “Amended and Restated Registration Rights Agreement”). In addition, pursuant to the Amended and Restated Purchase Agreement, instead of AIR Preferred Stock, the Purchasers may now elect to purchase, at any time within 18 months following the effective date defined in the Amended and Restated Purchase Agreement, additional Amended and Restated Convertible Debentures (the “AIR Convertible Debentures”) up to an aggregate principal amount of $91,000,000, which shall be convertible into shares of Common Stock (the “Additional Investment Right”). At each additional closing of the sale of AIR Convertible Debentures pursuant to an exercise of the Additional Investment Right, the AIR Convertible Debentures will be issued with substantially similar terms to the Amended and Restated Convertible Debentures, but in each case with a different original issuance date, maturity date and conversion price, and not including any provision permitting or requiring conversion at a price below the Floor Price (as defined below).</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The foregoing transactions are collectively referred to as the “Private Placement”. Unless specifically defined herein, or unless the context requires otherwise, capitalized terms used herein have the meanings set forth in the Amended and Restated Purchase Agreement.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(“FNL”) was the lead Purchaser in the Private Placement. The Company’s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The Private Placement (including the Amended and Restated Purchase Agreement, Amended and Restated Convertible Debentures, Amended and Restated Warrants and Amended and Restated Registration Rights Agreement) was approved by the disinterested members of the Company’s board of directors.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Convertible Debentures and AIR Convertible Debentures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Convertible Debentures and AIR Convertible Debentures are the direct, unsecured debt obligations of the Company and mature three years after their respective original issuance 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Convertible Debentures and AIR Convertible Debentures accrue interest on the aggregate unconverted and then outstanding principal amount at the Applicable Federal Rate as of the original issue date of the Amended and Restated Convertible Debentures and AIR Convertible Debentures, as applicable, and increasing to 8% per annum commencing on the first anniversary of the original issue date of the Amended and Restated Convertible Debentures and AIR Convertible Debentures, as applicable, payable quarterly on January 1, April 1, July 1 and October 1, and on their respective maturity dates, payable in cash, or at the Company’s option, in duly authorized, validly issued, fully paid and non-assessable registered shares of Common Stock, or a combination thereof, at an interest conversion rate equal to the lesser of (a) the conversion price, or (b) 90% of the arithmetic average of the three lowest daily volume weighted average prices during the five trading days prior to the applicable interest payment date, provided that the interest conversion rate shall not be less than the Floor Price. Payment of interest in shares of Common Stock is subject to satisfaction of certain equity conditions as described in the applicable Amended and Restated Convertible Debentures and AIR Convertible Debentures.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under the Amended and Restated Convertible Debentures and AIR Convertible Debentures will be convertible, at any time and from time to time, in whole or in part (but not in amounts less than $100,000 in principal for each notice of conversion), at the option of the holder thereof, into that number of shares of Common Stock (subject to the Beneficial Ownership Limitation and the Issuable Maximum) determined by dividing the principal amount being converted by the applicable conversion price thereof. The initial conversion price for the Amended and Restated Convertible Debentures is $4.25, which is equal to 105% of the average of the daily volume weighted average prices for the five (5) trading days prior to August 21, 2026 (which is equal to what the initial conversion price of the Series A-1 Preferred Stock would have been), and is subject to adjustment as described in the Amended and Restated Convertible Debentures, including in the event of dilutive issuances (subject to certain exceptions), provided in all cases that the conversion price of the Amended and Restated Convertible Debentures shall not be less than $0.72 per share, which is equal to 20% of the Nasdaq Minimum Price on the date prior to the original Purchase Agreement (subject to adjustment for reverse and forward stock splits, recapitalizations, and similar transactions following such date, the “Floor Price”). The initial conversion price of the first $10,000,000 in the aggregate of the AIR Convertible Debentures will equal 150% of the initial conversion price of the Amended and Restated Convertible Debentures and, thereafter, the AIR Convertible Debentures issuable pursuant to all subsequent exercises of the Additional Investment Right will have an initial conversion price equal to the lower of (x) the initial conversion price of the Amended and Restated Convertible Debentures, and (y) 90% of the arithmetic average of the three (3) lowest daily volume weighted average prices during the five (5) trading days prior to the date of exercise of the Additional Investment Right, provided that the conversion price of the AIR Convertible Debentures is subject to adjustment as described in the applicable AIR Convertible Debenture, including in the event of dilutive issuances (subject to certain exceptions), provided in all cases that the conversion price of the AIR Convertible Debentures shall not be less than the Floor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exemptions, if the Company sells or grants any option to purchase, or sells or grants any right to reprice, or otherwise disposes of or issues, any Common Stock or Common Stock equivalents at an effective price per share that is lower than the then applicable conversion price of the Amended and Restated Convertible Debentures or AIR Convertible Debentures, as applicable, then the applicable conversion price will be reduced to equal the lower price of such dilutive issuance (but in no event lower than the Floor Price). Issuances under the Additional Investment Right are not exempt from, and could trigger, this anti-dilution protection. If the Company receives a conversion notice with respect to the Amended and Restated Convertible Debentures when the applicable conversion price then in effect (without regard to the Floor Price) is lower than the Floor Price then in effect (such amount, the “Applicable Conversion Price”), then the Company shall, in its sole discretion, either (i) reduce the Floor Price to the Applicable Conversion Price and allow such conversion to be made at the Applicable Conversion Price, or (ii) issue a number of shares of Common Stock equal to the principal amount to be converted divided by the Floor Price (without adjusting to the Applicable Conversion Price) and either (A) pay the economic difference in cash or (B) add the economic difference to the principal amount of the holder’s Amended and Restated Convertible Debentures that remain unconverted following such conversion. This adjustment provision only applies to the Amended and Restated Convertible Debentures and will not apply to any AIR Convertible Debentures issued upon exercise of the Additional Investment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at least $2,250,000 in aggregate principal amount of the Amended and Restated Convertible Debentures remains outstanding, and so long as at least 25% in aggregate principal amount of the applicable AIR Convertible Debentures remains outstanding, the Company is subject to certain negative covenants, including restrictions on the incurrence of additional indebtedness, the creation of liens, the payment of cash dividends, and the repurchase of the Company’s equity securities, in each case subject to certain exceptions.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principal balance and accrued but unpaid interest under the Amended and Restated Convertible Debentures and AIR Convertible Debentures shall accelerate and become immediately due and payable at the election of the holder thereof upon the occurrence of certain events of default as described therein. The Company may not prepay any portion of the principal amount of an Amended and Restated Convertible Debenture or AIR Convertible Debenture without the prior written consent of the holders thereof.</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amended and restated the Warrants to conform to the Amended and Restated Purchase Agreement, and the terms of the Amended and Restated Warrants are substantially the same as the Warrants. The Amended and Restated Warrants continue to provide for the purchase of up to 2,117,219 shares of Common Stock at an initial exercise price of $4.25 per share. No additional Amended and Restated Warrants shall be issued in connection with the exercise of the Additional Investment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Registration Rights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and Restated Registration Rights Agreement, the Company has agreed to file (i) a resale registration statement with respect to the public resale of the Common Stock issuable upon conversion of the Amended and Restated Convertible Debentures and upon exercise of the Amended and Restated Warrants not later than 20 days after the date of the Amended and Restated Registration Rights Agreement and to use commercially reasonable efforts to cause such registration statement to become effective no later than 30 days after such filing date (or 60 days in the event of a “full review” by the SEC), and (ii) a resale registration statement with respect to the public resale of the Common Stock issuable upon conversion of the AIR Convertible Debentures not later than the earliest practical date on which the Company is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Amended and Restated Purchase Agreement (including the description of the AIR Convertible Debentures therein), Amended and Restated Convertible Debentures, Amended and Restated Warrants, and Amended and Restated Registration Rights Agreement, do not purport to be complete and are subject to and qualified in their entirety by reference to the complete text of such documents, which are attached as Exhibits 10.1, 4.1, 4.2 and 10.2, respectively, to this Current Report, and are incorporated herein by reference.</w:t>
      </w:r>
    </w:p>
    <w:tbl>
      <w:tblPr>
        <w:tblW w:w="3858" w:type="dxa"/>
        <w:jc w:val="left"/>
        <w:tblInd w:w="0" w:type="dxa"/>
        <w:tblLayout w:type="fixed"/>
        <w:tblCellMar>
          <w:top w:w="0" w:type="dxa"/>
          <w:left w:w="0" w:type="dxa"/>
          <w:bottom w:w="0" w:type="dxa"/>
          <w:right w:w="0" w:type="dxa"/>
        </w:tblCellMar>
      </w:tblPr>
      <w:tblGrid>
        <w:gridCol w:w="38"/>
        <w:gridCol w:w="86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jc w:val="left"/>
        <w:rPr>
          <w:caps w:val="false"/>
          <w:smallCaps w:val="false"/>
        </w:rPr>
      </w:pPr>
      <w:r>
        <w:rPr>
          <w:caps w:val="false"/>
          <w:smallCaps w:val="false"/>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jc w:val="left"/>
        <w:rPr>
          <w:caps w:val="false"/>
          <w:smallCaps w:val="false"/>
        </w:rPr>
      </w:pPr>
      <w:r>
        <w:rPr>
          <w:caps w:val="false"/>
          <w:smallCaps w:val="false"/>
        </w:rPr>
        <w:t> </w:t>
      </w:r>
    </w:p>
    <w:tbl>
      <w:tblPr>
        <w:tblW w:w="7300" w:type="dxa"/>
        <w:jc w:val="left"/>
        <w:tblInd w:w="0" w:type="dxa"/>
        <w:tblLayout w:type="fixed"/>
        <w:tblCellMar>
          <w:top w:w="0" w:type="dxa"/>
          <w:left w:w="0" w:type="dxa"/>
          <w:bottom w:w="28" w:type="dxa"/>
          <w:right w:w="0" w:type="dxa"/>
        </w:tblCellMar>
      </w:tblPr>
      <w:tblGrid>
        <w:gridCol w:w="665"/>
        <w:gridCol w:w="60"/>
        <w:gridCol w:w="657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ex4_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pPr>
            <w:hyperlink w:anchor="ex4_1.htm">
              <w:r>
                <w:rPr>
                  <w:rStyle w:val="InternetLink"/>
                  <w:rFonts w:ascii="Times New Roman;Times;Serif" w:hAnsi="Times New Roman;Times;Serif"/>
                  <w:sz w:val="20"/>
                </w:rPr>
                <w:t>Form of Amended and Restated 8% Convertible Debenture Due August 21, 2029</w:t>
              </w:r>
            </w:hyperlink>
          </w:p>
        </w:tc>
      </w:tr>
      <w:tr>
        <w:trPr/>
        <w:tc>
          <w:tcPr>
            <w:tcW w:w="665" w:type="dxa"/>
            <w:tcBorders/>
            <w:tcMar>
              <w:bottom w:w="0" w:type="dxa"/>
            </w:tcMar>
            <w:vAlign w:val="center"/>
          </w:tcPr>
          <w:p>
            <w:pPr>
              <w:pStyle w:val="TableContents"/>
              <w:bidi w:val="0"/>
              <w:spacing w:before="0" w:after="283"/>
              <w:jc w:val="left"/>
              <w:rPr/>
            </w:pPr>
            <w:hyperlink w:anchor="ex4_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pPr>
            <w:hyperlink w:anchor="ex4_2.htm">
              <w:r>
                <w:rPr>
                  <w:rStyle w:val="InternetLink"/>
                  <w:rFonts w:ascii="Times New Roman;Times;Serif" w:hAnsi="Times New Roman;Times;Serif"/>
                  <w:sz w:val="20"/>
                </w:rPr>
                <w:t>Form of Amended and Restated Common Stock Purchase Warrant</w:t>
              </w:r>
            </w:hyperlink>
          </w:p>
        </w:tc>
      </w:tr>
      <w:tr>
        <w:trPr/>
        <w:tc>
          <w:tcPr>
            <w:tcW w:w="665" w:type="dxa"/>
            <w:tcBorders/>
            <w:tcMar>
              <w:bottom w:w="0" w:type="dxa"/>
            </w:tcMar>
            <w:vAlign w:val="center"/>
          </w:tcPr>
          <w:p>
            <w:pPr>
              <w:pStyle w:val="TableContents"/>
              <w:bidi w:val="0"/>
              <w:spacing w:before="0" w:after="283"/>
              <w:jc w:val="left"/>
              <w:rPr/>
            </w:pPr>
            <w:hyperlink w:anchor="ex10_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pPr>
            <w:hyperlink w:anchor="ex10_1.htm">
              <w:r>
                <w:rPr>
                  <w:rStyle w:val="InternetLink"/>
                  <w:rFonts w:ascii="Times New Roman;Times;Serif" w:hAnsi="Times New Roman;Times;Serif"/>
                  <w:sz w:val="20"/>
                </w:rPr>
                <w:t>Form of Amended and Restated Securities Purchase Agreement</w:t>
              </w:r>
            </w:hyperlink>
          </w:p>
        </w:tc>
      </w:tr>
      <w:tr>
        <w:trPr/>
        <w:tc>
          <w:tcPr>
            <w:tcW w:w="665" w:type="dxa"/>
            <w:tcBorders/>
            <w:tcMar>
              <w:bottom w:w="0" w:type="dxa"/>
            </w:tcMar>
            <w:vAlign w:val="center"/>
          </w:tcPr>
          <w:p>
            <w:pPr>
              <w:pStyle w:val="TableContents"/>
              <w:bidi w:val="0"/>
              <w:spacing w:before="0" w:after="283"/>
              <w:jc w:val="left"/>
              <w:rPr/>
            </w:pPr>
            <w:hyperlink w:anchor="ex10_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pPr>
            <w:hyperlink w:anchor="ex10_2.htm">
              <w:r>
                <w:rPr>
                  <w:rStyle w:val="InternetLink"/>
                  <w:rFonts w:ascii="Times New Roman;Times;Serif" w:hAnsi="Times New Roman;Times;Serif"/>
                  <w:sz w:val="20"/>
                </w:rPr>
                <w:t>Form of Amended and Restated Registration Rights Agreement</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lineRule="auto" w:line="276"/>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may be deemed solicitation material in respect of the Company’s intention to seek stockholder approval that, if approved, will enable the Purchasers to be issued, under applicable Nasdaq listing rules, 19.99% or more of the Company’s outstanding shares of Common Stock in connection with the transactions contemplated by the Amended and Restated Purchase Agreement, including (i) shares issuable upon conversion of the Amended and Restated Convertible Debentures, (ii) shares issuable upon conversion of the AIR Convertible Debentures, (iii) shares issuable in payment of interest accrued on the Amended and Restated Convertible Debentures and AIR Convertible Debentures, and (iv) shares issuable upon exercise of the Amended and Restated Warrants, as well as in connection with any future adjustments of the conversion price or exercise price. This filing does not constitute a solicitation of any vote or approval of the proposals to be voted on at any meeting of the Company’s stockholders. In connection with such a meeting, the Company intends to file a preliminary proxy statement on Schedule 14A with the SEC and may file additional relevant materials with the SEC. Following the filing of a definitive proxy statement with the SEC, the Company will mail or otherwise provide the definitive proxy statement and a proxy card to each stockholder entitled to vote at the meeting regarding the business to be conducted at the meeting. This document is not a substitute for the proxy statement or any other document that may be filed by the Company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VOTING DECISION, THE COMPANY’S STOCKHOLDERS ARE URGED TO READ CAREFULLY AND IN THEIR ENTIRETY THE PROXY STATEMENT, AND ANY AMENDMENTS OR SUPPLEMENTS THERETO, AND ANY OTHER RELEVANT DOCUMENTS THAT THE COMPANY FILES WITH THE SEC WHEN THEY BECOME AVAILABLE BEFORE MAKING ANY VOTING DECISION WITH RESPECT TO THE BUSINESS TO BE CONDUCTED AT THE STOCKHOLDER MEETING BECAUSE THEY WILL CONTAIN IMPORTANT INFORMATION ABOUT THE BUSINESS TO BE CONDUCTED AT SUCH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obtain a copy of the proxy statement and other documents the Company files with the SEC (when they become available) free of charge through the website maintained by the SEC at www.sec.gov. In addition, the Company makes available free of charge on its investor relations website at https://investors.expion360.com copies of materials it files with, or furnishes to,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and other persons may be deemed to be participants in the solicitation of proxies from the Company’s stockholders in connection with the business to be conducted at the meeting of stockholders. Information regarding the names, affiliations and direct or indirect interests, by security holdings or otherwise, of the participants will be set forth in the definitive proxy statement to be filed in connection with the meeting of stockholders, which, when available, may be obtained free of charge from the sources indicated above.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lineRule="auto" w:line="27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lineRule="auto" w:line="276"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lineRule="auto" w:line="276"/>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925"/>
        <w:gridCol w:w="60"/>
        <w:gridCol w:w="60"/>
        <w:gridCol w:w="60"/>
        <w:gridCol w:w="545"/>
        <w:gridCol w:w="60"/>
        <w:gridCol w:w="189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2500" w:type="dxa"/>
            <w:gridSpan w:val="3"/>
            <w:tcBorders/>
            <w:vAlign w:val="center"/>
          </w:tcPr>
          <w:p>
            <w:pPr>
              <w:pStyle w:val="TableContents"/>
              <w:bidi w:val="0"/>
              <w:spacing w:lineRule="auto" w:line="273" w:before="0" w:after="283"/>
              <w:jc w:val="left"/>
              <w:rPr>
                <w:b/>
                <w:sz w:val="20"/>
              </w:rPr>
            </w:pPr>
            <w:r>
              <w:rPr>
                <w:b/>
                <w:sz w:val="20"/>
              </w:rPr>
              <w:t>EXPION ENERGY, INC.</w:t>
            </w:r>
          </w:p>
        </w:tc>
      </w:tr>
      <w:tr>
        <w:trPr/>
        <w:tc>
          <w:tcPr>
            <w:tcW w:w="192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273" w:before="0" w:after="283"/>
              <w:jc w:val="left"/>
              <w:rPr>
                <w:sz w:val="20"/>
              </w:rPr>
            </w:pPr>
            <w:r>
              <w:rPr>
                <w:sz w:val="20"/>
              </w:rPr>
              <w:t>Date: October 23, 2026</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bottom w:val="single" w:sz="8" w:space="0" w:color="000000"/>
            </w:tcBorders>
            <w:tcMar>
              <w:bottom w:w="30" w:type="dxa"/>
            </w:tcMar>
            <w:vAlign w:val="center"/>
          </w:tcPr>
          <w:p>
            <w:pPr>
              <w:pStyle w:val="TableContents"/>
              <w:bidi w:val="0"/>
              <w:spacing w:lineRule="auto" w:line="273" w:before="0" w:after="283"/>
              <w:jc w:val="left"/>
              <w:rPr>
                <w:sz w:val="20"/>
              </w:rPr>
            </w:pPr>
            <w:r>
              <w:rPr>
                <w:sz w:val="20"/>
              </w:rPr>
              <w:t>By:</w:t>
            </w:r>
          </w:p>
        </w:tc>
        <w:tc>
          <w:tcPr>
            <w:tcW w:w="60" w:type="dxa"/>
            <w:tcBorders>
              <w:bottom w:val="single" w:sz="8" w:space="0" w:color="000000"/>
            </w:tcBorders>
            <w:tcMar>
              <w:bottom w:w="30" w:type="dxa"/>
            </w:tcMar>
            <w:vAlign w:val="center"/>
          </w:tcPr>
          <w:p>
            <w:pPr>
              <w:pStyle w:val="TableContents"/>
              <w:bidi w:val="0"/>
              <w:spacing w:lineRule="auto" w:line="273" w:before="0" w:after="283"/>
              <w:jc w:val="left"/>
              <w:rPr/>
            </w:pPr>
            <w:r>
              <w:rPr/>
              <w:t> </w:t>
            </w:r>
          </w:p>
        </w:tc>
        <w:tc>
          <w:tcPr>
            <w:tcW w:w="1895" w:type="dxa"/>
            <w:tcBorders>
              <w:bottom w:val="single" w:sz="8" w:space="0" w:color="000000"/>
            </w:tcBorders>
            <w:tcMar>
              <w:bottom w:w="30" w:type="dxa"/>
            </w:tcMar>
            <w:vAlign w:val="center"/>
          </w:tcPr>
          <w:p>
            <w:pPr>
              <w:pStyle w:val="TableContents"/>
              <w:bidi w:val="0"/>
              <w:spacing w:lineRule="auto" w:line="273" w:before="0" w:after="283"/>
              <w:jc w:val="left"/>
              <w:rPr>
                <w:i/>
                <w:sz w:val="20"/>
              </w:rPr>
            </w:pPr>
            <w:r>
              <w:rPr>
                <w:i/>
                <w:sz w:val="20"/>
              </w:rPr>
              <w:t>/s/ Robert Winspear</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Name:</w:t>
            </w:r>
          </w:p>
        </w:tc>
        <w:tc>
          <w:tcPr>
            <w:tcW w:w="60" w:type="dxa"/>
            <w:tcBorders/>
            <w:vAlign w:val="center"/>
          </w:tcPr>
          <w:p>
            <w:pPr>
              <w:pStyle w:val="TableContents"/>
              <w:bidi w:val="0"/>
              <w:spacing w:lineRule="auto" w:line="273" w:before="0" w:after="283"/>
              <w:jc w:val="left"/>
              <w:rPr/>
            </w:pPr>
            <w:r>
              <w:rPr/>
              <w:t> </w:t>
            </w:r>
          </w:p>
        </w:tc>
        <w:tc>
          <w:tcPr>
            <w:tcW w:w="1895" w:type="dxa"/>
            <w:tcBorders/>
            <w:vAlign w:val="center"/>
          </w:tcPr>
          <w:p>
            <w:pPr>
              <w:pStyle w:val="TableContents"/>
              <w:bidi w:val="0"/>
              <w:spacing w:lineRule="auto" w:line="273" w:before="0" w:after="283"/>
              <w:jc w:val="left"/>
              <w:rPr>
                <w:sz w:val="20"/>
              </w:rPr>
            </w:pPr>
            <w:r>
              <w:rPr>
                <w:sz w:val="20"/>
              </w:rPr>
              <w:t>Robert Winspear</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273" w:before="0" w:after="283"/>
              <w:jc w:val="left"/>
              <w:rPr/>
            </w:pPr>
            <w:r>
              <w:rPr/>
              <w:t> </w:t>
            </w:r>
          </w:p>
        </w:tc>
        <w:tc>
          <w:tcPr>
            <w:tcW w:w="545" w:type="dxa"/>
            <w:tcBorders/>
            <w:vAlign w:val="center"/>
          </w:tcPr>
          <w:p>
            <w:pPr>
              <w:pStyle w:val="TableContents"/>
              <w:bidi w:val="0"/>
              <w:spacing w:lineRule="auto" w:line="273" w:before="0" w:after="283"/>
              <w:jc w:val="left"/>
              <w:rPr>
                <w:sz w:val="20"/>
              </w:rPr>
            </w:pPr>
            <w:r>
              <w:rPr>
                <w:sz w:val="20"/>
              </w:rPr>
              <w:t>Title:</w:t>
            </w:r>
          </w:p>
        </w:tc>
        <w:tc>
          <w:tcPr>
            <w:tcW w:w="60" w:type="dxa"/>
            <w:tcBorders/>
            <w:vAlign w:val="center"/>
          </w:tcPr>
          <w:p>
            <w:pPr>
              <w:pStyle w:val="TableContents"/>
              <w:bidi w:val="0"/>
              <w:spacing w:lineRule="auto" w:line="273" w:before="0" w:after="283"/>
              <w:jc w:val="left"/>
              <w:rPr/>
            </w:pPr>
            <w:r>
              <w:rPr/>
              <w:t> </w:t>
            </w:r>
          </w:p>
        </w:tc>
        <w:tc>
          <w:tcPr>
            <w:tcW w:w="1895" w:type="dxa"/>
            <w:tcBorders/>
            <w:vAlign w:val="center"/>
          </w:tcPr>
          <w:p>
            <w:pPr>
              <w:pStyle w:val="TableContents"/>
              <w:bidi w:val="0"/>
              <w:spacing w:lineRule="auto" w:line="273"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0" w:right="0" w:hanging="0"/>
        <w:jc w:val="left"/>
        <w:rPr/>
      </w:pPr>
      <w:r>
        <w:rPr/>
        <w:t> </w:t>
      </w:r>
    </w:p>
    <w:p>
      <w:pPr>
        <w:pStyle w:val="TextBody"/>
        <w:bidi w:val="0"/>
        <w:ind w:left="0" w:right="0" w:hanging="0"/>
        <w:jc w:val="right"/>
        <w:rPr>
          <w:rFonts w:ascii="Times New Roman;Times;Serif" w:hAnsi="Times New Roman;Times;Serif"/>
          <w:b/>
          <w:sz w:val="20"/>
        </w:rPr>
      </w:pPr>
      <w:bookmarkStart w:id="24" w:name="ex4_1.htm"/>
      <w:bookmarkStart w:id="25" w:name="ksex4_1"/>
      <w:bookmarkEnd w:id="24"/>
      <w:bookmarkEnd w:id="25"/>
      <w:r>
        <w:rPr>
          <w:rFonts w:ascii="Times New Roman;Times;Serif" w:hAnsi="Times New Roman;Times;Serif"/>
          <w:b/>
          <w:sz w:val="20"/>
        </w:rPr>
        <w:t>Exhibit 4.1</w:t>
      </w:r>
      <w:r>
        <w:br w:type="page"/>
      </w:r>
    </w:p>
    <w:p>
      <w:pPr>
        <w:pStyle w:val="TextBody"/>
        <w:bidi w:val="0"/>
        <w:ind w:left="0" w:right="0" w:hanging="0"/>
        <w:jc w:val="right"/>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HAVE BEEN REGISTERED WITH THE SECURITIES AND EXCHANGE COMMISSION OR THE SECURITIES COMMISSION OF ANY STATE IN RELIANCE UPON AN EXEMPTION FROM REGISTRATION UNDER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pStyle w:val="TextBody"/>
        <w:bidi w:val="0"/>
        <w:jc w:val="righ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Original Issue Date: August 21, 2026</w:t>
        <w:tab/>
        <w:t xml:space="preserve"> </w:t>
        <w:tab/>
        <w:t xml:space="preserve"> Principal Amount: $[_______]</w:t>
      </w:r>
    </w:p>
    <w:p>
      <w:pPr>
        <w:pStyle w:val="TextBody"/>
        <w:bidi w:val="0"/>
        <w:jc w:val="both"/>
        <w:rPr>
          <w:rFonts w:ascii="Times New Roman;Times;Serif" w:hAnsi="Times New Roman;Times;Serif"/>
          <w:sz w:val="20"/>
        </w:rPr>
      </w:pPr>
      <w:r>
        <w:rPr>
          <w:rFonts w:ascii="Times New Roman;Times;Serif" w:hAnsi="Times New Roman;Times;Serif"/>
          <w:sz w:val="20"/>
        </w:rPr>
        <w:t>Conversion Price: $4.25</w:t>
        <w:tab/>
      </w:r>
    </w:p>
    <w:p>
      <w:pPr>
        <w:pStyle w:val="TextBody"/>
        <w:bidi w:val="0"/>
        <w:spacing w:before="0" w:after="283"/>
        <w:jc w:val="left"/>
        <w:rPr/>
      </w:pPr>
      <w:r>
        <w:rPr/>
        <w:t> </w:t>
      </w:r>
    </w:p>
    <w:p>
      <w:pPr>
        <w:pStyle w:val="TextBody"/>
        <w:bidi w:val="0"/>
        <w:jc w:val="center"/>
        <w:rPr>
          <w:rFonts w:ascii="Times New Roman;Times;Serif" w:hAnsi="Times New Roman;Times;Serif"/>
          <w:b/>
          <w:caps/>
          <w:sz w:val="20"/>
        </w:rPr>
      </w:pPr>
      <w:r>
        <w:rPr>
          <w:rFonts w:ascii="Times New Roman;Times;Serif" w:hAnsi="Times New Roman;Times;Serif"/>
          <w:b/>
          <w:caps/>
          <w:sz w:val="20"/>
        </w:rPr>
        <w:t>FORM OF</w:t>
      </w:r>
    </w:p>
    <w:p>
      <w:pPr>
        <w:pStyle w:val="TextBody"/>
        <w:bidi w:val="0"/>
        <w:jc w:val="center"/>
        <w:rPr>
          <w:rFonts w:ascii="Times New Roman;Times;Serif" w:hAnsi="Times New Roman;Times;Serif"/>
          <w:b/>
          <w:caps/>
          <w:sz w:val="20"/>
        </w:rPr>
      </w:pPr>
      <w:r>
        <w:rPr>
          <w:rFonts w:ascii="Times New Roman;Times;Serif" w:hAnsi="Times New Roman;Times;Serif"/>
          <w:b/>
          <w:caps/>
          <w:sz w:val="20"/>
        </w:rPr>
        <w:t>AMENDED AND RESTATED</w:t>
      </w:r>
    </w:p>
    <w:p>
      <w:pPr>
        <w:pStyle w:val="TextBody"/>
        <w:bidi w:val="0"/>
        <w:jc w:val="center"/>
        <w:rPr>
          <w:rFonts w:ascii="Times New Roman;Times;Serif" w:hAnsi="Times New Roman;Times;Serif"/>
          <w:b/>
          <w:caps/>
          <w:sz w:val="20"/>
        </w:rPr>
      </w:pPr>
      <w:r>
        <w:rPr>
          <w:rFonts w:ascii="Times New Roman;Times;Serif" w:hAnsi="Times New Roman;Times;Serif"/>
          <w:b/>
          <w:caps/>
          <w:sz w:val="20"/>
        </w:rPr>
        <w:t>8% CONVERTIBLE DEBENTURE</w:t>
      </w:r>
    </w:p>
    <w:p>
      <w:pPr>
        <w:pStyle w:val="TextBody"/>
        <w:bidi w:val="0"/>
        <w:jc w:val="center"/>
        <w:rPr>
          <w:rFonts w:ascii="Times New Roman;Times;Serif" w:hAnsi="Times New Roman;Times;Serif"/>
          <w:b/>
          <w:caps/>
          <w:sz w:val="20"/>
        </w:rPr>
      </w:pPr>
      <w:r>
        <w:rPr>
          <w:rFonts w:ascii="Times New Roman;Times;Serif" w:hAnsi="Times New Roman;Times;Serif"/>
          <w:b/>
          <w:caps/>
          <w:sz w:val="20"/>
        </w:rPr>
        <w:t>DUE AUGUST 21, 2029</w:t>
      </w:r>
    </w:p>
    <w:p>
      <w:pPr>
        <w:pStyle w:val="TextBody"/>
        <w:bidi w:val="0"/>
        <w:jc w:val="both"/>
        <w:rPr/>
      </w:pPr>
      <w:r>
        <w:rPr/>
        <w:t> </w:t>
      </w:r>
    </w:p>
    <w:p>
      <w:pPr>
        <w:pStyle w:val="TextBody"/>
        <w:bidi w:val="0"/>
        <w:ind w:left="0" w:right="0" w:firstLine="916"/>
        <w:jc w:val="both"/>
        <w:rPr>
          <w:rFonts w:ascii="Times New Roman;Times;Serif" w:hAnsi="Times New Roman;Times;Serif"/>
          <w:sz w:val="20"/>
        </w:rPr>
      </w:pPr>
      <w:r>
        <w:rPr>
          <w:rFonts w:ascii="Times New Roman;Times;Serif" w:hAnsi="Times New Roman;Times;Serif"/>
          <w:sz w:val="20"/>
        </w:rPr>
        <w:t>THIS AMENDED AND RESTATED 8% CONVERTIBLE DEBENTURE is one of a series of duly authorized and validly issued Amended and Restated 8% Convertible Debentures issued by Expion Energy, Inc., a Nevada corporation (the “</w:t>
      </w:r>
      <w:r>
        <w:rPr>
          <w:rFonts w:ascii="Times New Roman;Times;Serif" w:hAnsi="Times New Roman;Times;Serif"/>
          <w:sz w:val="20"/>
          <w:u w:val="single"/>
        </w:rPr>
        <w:t>Company</w:t>
      </w:r>
      <w:r>
        <w:rPr>
          <w:rFonts w:ascii="Times New Roman;Times;Serif" w:hAnsi="Times New Roman;Times;Serif"/>
          <w:sz w:val="20"/>
        </w:rPr>
        <w:t>” or the “</w:t>
      </w:r>
      <w:r>
        <w:rPr>
          <w:rFonts w:ascii="Times New Roman;Times;Serif" w:hAnsi="Times New Roman;Times;Serif"/>
          <w:sz w:val="20"/>
          <w:u w:val="single"/>
        </w:rPr>
        <w:t>Corporation</w:t>
      </w:r>
      <w:r>
        <w:rPr>
          <w:rFonts w:ascii="Times New Roman;Times;Serif" w:hAnsi="Times New Roman;Times;Serif"/>
          <w:sz w:val="20"/>
        </w:rPr>
        <w:t>”), having its principal place of business at 2025 SW Deerhound Avenue, Redmond, Oregon, 97756, designated as its Amended and Restated 8% Convertible Debenture due August 21, 2029 (this amended and restated debenture, the “</w:t>
      </w:r>
      <w:r>
        <w:rPr>
          <w:rFonts w:ascii="Times New Roman;Times;Serif" w:hAnsi="Times New Roman;Times;Serif"/>
          <w:sz w:val="20"/>
          <w:u w:val="single"/>
        </w:rPr>
        <w:t>Debenture</w:t>
      </w:r>
      <w:r>
        <w:rPr>
          <w:rFonts w:ascii="Times New Roman;Times;Serif" w:hAnsi="Times New Roman;Times;Serif"/>
          <w:sz w:val="20"/>
        </w:rPr>
        <w:t>” and, collectively with the other amended and restated debentures of such series, the “</w:t>
      </w:r>
      <w:r>
        <w:rPr>
          <w:rFonts w:ascii="Times New Roman;Times;Serif" w:hAnsi="Times New Roman;Times;Serif"/>
          <w:sz w:val="20"/>
          <w:u w:val="single"/>
        </w:rPr>
        <w:t>Debentures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FOR VALUE RECEIVED, the Company promises to pay to [_________________] or its registered assigns (the “</w:t>
      </w:r>
      <w:r>
        <w:rPr>
          <w:rFonts w:ascii="Times New Roman;Times;Serif" w:hAnsi="Times New Roman;Times;Serif"/>
          <w:sz w:val="20"/>
          <w:u w:val="single"/>
        </w:rPr>
        <w:t>Holder</w:t>
      </w:r>
      <w:r>
        <w:rPr>
          <w:rFonts w:ascii="Times New Roman;Times;Serif" w:hAnsi="Times New Roman;Times;Serif"/>
          <w:sz w:val="20"/>
        </w:rPr>
        <w:t>”), or shall have paid pursuant to the terms hereunder, the principal sum of $[_______], or such lesser amount as shall equal the unconverted and outstanding principal amount hereof, on August 21, 2029 (the “</w:t>
      </w:r>
      <w:r>
        <w:rPr>
          <w:rFonts w:ascii="Times New Roman;Times;Serif" w:hAnsi="Times New Roman;Times;Serif"/>
          <w:sz w:val="20"/>
          <w:u w:val="single"/>
        </w:rPr>
        <w:t>Maturity Date</w:t>
      </w:r>
      <w:r>
        <w:rPr>
          <w:rFonts w:ascii="Times New Roman;Times;Serif" w:hAnsi="Times New Roman;Times;Serif"/>
          <w:sz w:val="20"/>
        </w:rPr>
        <w:t>”) or such earlier date as this Debenture is required or permitted to be repaid as provided hereunder, and to pay interest to the Holder on the aggregate unconverted and then outstanding principal amount of this Debenture in accordance with the provisions hereof. This Debenture is subject to the following additional provisions:</w:t>
      </w:r>
    </w:p>
    <w:p>
      <w:pPr>
        <w:pStyle w:val="TextBody"/>
        <w:bidi w:val="0"/>
        <w:ind w:left="0" w:right="0" w:firstLine="72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For the purposes hereof, in addition to the terms defined elsewhere in this Debenture, (a) capitalized terms not otherwise defined herein shall have the meanings set forth in the Purchase Agreement and (b) the following terms shall have the following meanings: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5(c).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Applicable Federal Rate</w:t>
      </w:r>
      <w:r>
        <w:rPr>
          <w:rFonts w:ascii="Times New Roman;Times;Serif" w:hAnsi="Times New Roman;Times;Serif"/>
          <w:sz w:val="20"/>
        </w:rPr>
        <w:t>” shall have the meaning ascribed to such term in Section 7872(f)(2) of the Internal Revenue Code of 1986, as amended.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ind w:left="72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Bankruptcy Event</w:t>
      </w:r>
      <w:r>
        <w:rPr>
          <w:rFonts w:ascii="Times New Roman;Times;Serif" w:hAnsi="Times New Roman;Times;Serif"/>
          <w:sz w:val="20"/>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calendar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or (f) the Corporation or any Significant Subsidiary thereof, by any act or failure to act, expressly indicates its consent to, approval of or acquiescence in any of the foregoing or takes any corporate or other action for the purpose of effecting any of the foregoing.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4(c).</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Corporation, par value $0.001 per share, and any other class of securities into which such securities may hereafter be reclassified or changed.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Amount</w:t>
      </w:r>
      <w:r>
        <w:rPr>
          <w:rFonts w:ascii="Times New Roman;Times;Serif" w:hAnsi="Times New Roman;Times;Serif"/>
          <w:sz w:val="20"/>
        </w:rPr>
        <w:t>” means, with respect to the particular conversion of the principal amount of the Debenture at issue, the “Principal Amount of Debenture to be Converted” as reflected on the Notice of Conversion for such conversion.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ascribed to such term in Section 4(a).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Failure</w:t>
      </w:r>
      <w:r>
        <w:rPr>
          <w:rFonts w:ascii="Times New Roman;Times;Serif" w:hAnsi="Times New Roman;Times;Serif"/>
          <w:sz w:val="20"/>
        </w:rPr>
        <w:t>” shall have the meaning set forth in Section 4(c).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4(b).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collectively, the shares of Common Stock issuable upon conversion of this Debenture in accordance with the terms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Debenture Register</w:t>
      </w:r>
      <w:r>
        <w:rPr>
          <w:rFonts w:ascii="Times New Roman;Times;Serif" w:hAnsi="Times New Roman;Times;Serif"/>
          <w:sz w:val="20"/>
        </w:rPr>
        <w:t>” shall have the meaning set forth in Section 2(c).</w:t>
      </w:r>
    </w:p>
    <w:p>
      <w:pPr>
        <w:pStyle w:val="TextBody"/>
        <w:bidi w:val="0"/>
        <w:ind w:left="720" w:right="0" w:firstLine="720"/>
        <w:jc w:val="both"/>
        <w:rPr/>
      </w:pPr>
      <w:r>
        <w:rPr/>
        <w:t> </w:t>
      </w:r>
    </w:p>
    <w:p>
      <w:pPr>
        <w:pStyle w:val="TextBody"/>
        <w:bidi w:val="0"/>
        <w:ind w:left="0" w:right="0" w:firstLine="1440"/>
        <w:jc w:val="both"/>
        <w:rPr/>
      </w:pPr>
      <w:r>
        <w:rPr/>
        <w:t>“</w:t>
      </w:r>
      <w:r>
        <w:rPr>
          <w:rFonts w:ascii="Times New Roman;Times;Serif" w:hAnsi="Times New Roman;Times;Serif"/>
          <w:sz w:val="20"/>
          <w:u w:val="single"/>
        </w:rPr>
        <w:t>Dilutive Issuance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Dilutive Issuance Notice</w:t>
      </w:r>
      <w:r>
        <w:rPr>
          <w:rFonts w:ascii="Times New Roman;Times;Serif" w:hAnsi="Times New Roman;Times;Serif"/>
          <w:sz w:val="20"/>
        </w:rPr>
        <w:t>” shall have the meaning set forth in Section 7(b).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Distribution</w:t>
      </w:r>
      <w:r>
        <w:rPr>
          <w:rFonts w:ascii="Times New Roman;Times;Serif" w:hAnsi="Times New Roman;Times;Serif"/>
          <w:sz w:val="20"/>
        </w:rPr>
        <w:t>” shall have the meaning set forth in Section 7(d).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Economic Difference</w:t>
      </w:r>
      <w:r>
        <w:rPr>
          <w:rFonts w:ascii="Times New Roman;Times;Serif" w:hAnsi="Times New Roman;Times;Serif"/>
          <w:sz w:val="20"/>
        </w:rPr>
        <w:t>” shall have the meaning set forth in Section 7(b).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date that the Registration Statement filed by the Corporation pursuant to the Registration Rights Agreement is first declared effective by the Commission.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Equity Conditions</w:t>
      </w:r>
      <w:r>
        <w:rPr>
          <w:rFonts w:ascii="Times New Roman;Times;Serif" w:hAnsi="Times New Roman;Times;Serif"/>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then due, owing and unpaid to the applicable Holder in respect of such Holder’s Debentures, (c)(i) there is an effective Registration Statement pursuant to which the Holders are permitted to utilize the prospectus thereunder to resell all of the shares of Common Stock issuable in lieu of cash payments of interest pursuant to Section 3, or (ii) all of the shares issuable in lieu of cash payments of interest pursuant to Section 3 may be resold pursuant to Rule 144 without volume or manner-of-sale restrictions or current public information requirements as determined by counsel to the Corporation, (c) the Common Stock is trading on a Trading Market, (d) the closing sale price of the Common Stock is equal to or greater than the Floor Price, (e) there is a sufficient number of authorized, but unissued and otherwise unreserved shares of Common Stock issuable in lieu of cash payments of interest pursuant to Section 3, (f) the issuance of the shares in question to the applicable Holder would not violate the limitations set forth in Section 4(d) and Section 4(e)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of Default</w:t>
      </w:r>
      <w:r>
        <w:rPr>
          <w:rFonts w:ascii="Times New Roman;Times;Serif" w:hAnsi="Times New Roman;Times;Serif"/>
          <w:sz w:val="20"/>
        </w:rPr>
        <w:t>” shall have the meaning set forth in Section 8(a).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Excess Shares</w:t>
      </w:r>
      <w:r>
        <w:rPr>
          <w:rFonts w:ascii="Times New Roman;Times;Serif" w:hAnsi="Times New Roman;Times;Serif"/>
          <w:sz w:val="20"/>
        </w:rPr>
        <w:t>” shall have the meaning set forth in Section 4(d).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Floor Price</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5(e).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United States generally accepted accounting principles.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shall have the meaning set forth in Section 2.</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ind w:left="720" w:right="0" w:firstLine="720"/>
        <w:jc w:val="both"/>
        <w:rPr/>
      </w:pPr>
      <w:r>
        <w:rPr/>
        <w:t>“</w:t>
      </w:r>
      <w:r>
        <w:rPr>
          <w:rFonts w:ascii="Times New Roman;Times;Serif" w:hAnsi="Times New Roman;Times;Serif"/>
          <w:sz w:val="20"/>
          <w:u w:val="single"/>
        </w:rPr>
        <w:t>Interest Conversion Rate</w:t>
      </w:r>
      <w:r>
        <w:rPr>
          <w:rFonts w:ascii="Times New Roman;Times;Serif" w:hAnsi="Times New Roman;Times;Serif"/>
          <w:sz w:val="20"/>
        </w:rPr>
        <w:t>” means the lesser of (a) the Conversion Price or (b) 90% of the arithmetic average of the three (3) lowest VWAPs during the five (5) Trading Days prior to the applicable Interest Payment Date provided that the Interest Conversion Rate shall not be less than the Floor Price.</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Interest Payment Date</w:t>
      </w:r>
      <w:r>
        <w:rPr>
          <w:rFonts w:ascii="Times New Roman;Times;Serif" w:hAnsi="Times New Roman;Times;Serif"/>
          <w:sz w:val="20"/>
        </w:rPr>
        <w:t>” shall have the meaning set forth in Section 2(a).</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shall have the meaning set forth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9(d).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Notice of Conversion</w:t>
      </w:r>
      <w:r>
        <w:rPr>
          <w:rFonts w:ascii="Times New Roman;Times;Serif" w:hAnsi="Times New Roman;Times;Serif"/>
          <w:sz w:val="20"/>
        </w:rPr>
        <w:t>” shall have the meaning set forth in Section 4(a).</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the Debentures, regardless of the number of transfers of any Debenture and regardless of the number of instruments which may be issued to evidence such Debentures.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Permitted Indebtedness</w:t>
      </w:r>
      <w:r>
        <w:rPr>
          <w:rFonts w:ascii="Times New Roman;Times;Serif" w:hAnsi="Times New Roman;Times;Serif"/>
          <w:sz w:val="20"/>
        </w:rPr>
        <w:t xml:space="preserve">” means (a) the Indebtedness existing on the Original Issue Date and set forth on </w:t>
      </w:r>
      <w:r>
        <w:rPr>
          <w:rFonts w:ascii="Times New Roman;Times;Serif" w:hAnsi="Times New Roman;Times;Serif"/>
          <w:sz w:val="20"/>
          <w:u w:val="single"/>
        </w:rPr>
        <w:t>Schedule 3.1(bb)</w:t>
      </w:r>
      <w:r>
        <w:rPr>
          <w:rFonts w:ascii="Times New Roman;Times;Serif" w:hAnsi="Times New Roman;Times;Serif"/>
          <w:sz w:val="20"/>
        </w:rPr>
        <w:t xml:space="preserve"> attached to the Purchase Agreement, the Debentures, and any refinancings, refundings, renewals or extensions of any of the foregoing;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(e) lease obligations and purchase money indebtedness incurred in connection with the acquisition of capital assets and lease obligations with respect to newly acquired or leased assets, and (f) Additional Debentures issued pursuant to Section 4.17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Permitted Liens</w:t>
      </w:r>
      <w:r>
        <w:rPr>
          <w:rFonts w:ascii="Times New Roman;Times;Serif" w:hAnsi="Times New Roman;Times;Serif"/>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(i) do not individually or in the aggregate materially detract from the value of such property or assets or materially impair the use thereof in the operation of the business of the Company,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Company,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Company, and any zoning or similar law or right reserved to or vested in any governmental authority to control or regulate the use of any real property that does not materially interfere with the ordinary conduct of the business of the Company,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Company,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Company or existing on any property or asset of any Person that becomes a subsidiary of the Company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Company other than the assets so acquired or leased.</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Prepayment Election</w:t>
      </w:r>
      <w:r>
        <w:rPr>
          <w:rFonts w:ascii="Times New Roman;Times;Serif" w:hAnsi="Times New Roman;Times;Serif"/>
          <w:sz w:val="20"/>
        </w:rPr>
        <w:t>” shall have the meaning set forth in Section 4(c).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as of August 21, 2026, and amended and restated as of October 22, 2026, among the Company and the original Holders, as amended, modified or supplemented from time to time in accordance with its terms.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means the Registration Rights Agreement, dated as of August 21, 2026, and amended and restated as of October 22, 2026, among the Company and the original Holders.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4(c)(ii).</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shall have the meaning ascribed to such term in Section 1.1 of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5(e).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shall have the meaning ascribed to such term in Section 1.1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Debentures, and issued and issuable in payment of interest on the Debentures in accordance with the terms of this Debenture.</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shall have the meaning ascribed to such term in Section 1.1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means, collectively, the Common Stock Purchase Warrants to purchase shares of Common Stock delivered to the Holders on the First Closing Date in accordance with Section 2.2(a) of the Purchase Agreement.</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Interest</w:t>
      </w:r>
      <w:r>
        <w:rPr>
          <w:rFonts w:ascii="Times New Roman;Times;Serif" w:hAnsi="Times New Roman;Times;Serif"/>
          <w:sz w:val="20"/>
        </w:rPr>
        <w:t>.</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Payment of Interest in Cash or in Kind</w:t>
      </w:r>
      <w:r>
        <w:rPr>
          <w:rFonts w:ascii="Times New Roman;Times;Serif" w:hAnsi="Times New Roman;Times;Serif"/>
          <w:sz w:val="20"/>
        </w:rPr>
        <w:t>. The Company shall pay interest to the Holder on the aggregate unconverted and then outstanding principal amount of this Debenture at the Applicable Federal Rate as of the Original Issue Date, and increasing to 8% per annum commencing on the first anniversary of the Original Issue Date, payable quarterly on January 1, April 1, July 1 and October 1, beginning on the first such date after the Original Issue Date and on the Maturity Date (each such date, an “</w:t>
      </w:r>
      <w:r>
        <w:rPr>
          <w:rFonts w:ascii="Times New Roman;Times;Serif" w:hAnsi="Times New Roman;Times;Serif"/>
          <w:sz w:val="20"/>
          <w:u w:val="single"/>
        </w:rPr>
        <w:t>Interest Payment Date</w:t>
      </w:r>
      <w:r>
        <w:rPr>
          <w:rFonts w:ascii="Times New Roman;Times;Serif" w:hAnsi="Times New Roman;Times;Serif"/>
          <w:sz w:val="20"/>
        </w:rPr>
        <w:t>”) (if any Interest Payment Date is not a Trading Day, then the applicable payment shall be due on the next succeeding Trading Day), in cash, or at the Corporation’s option provided that the Equity Conditions are then met, in duly authorized, validly issued, fully paid and non-assessable registered shares of Common Stock as set forth in this Section 2(a) or a combination thereof (the dollar amount to be paid in shares of Common Stock, the “</w:t>
      </w:r>
      <w:r>
        <w:rPr>
          <w:rFonts w:ascii="Times New Roman;Times;Serif" w:hAnsi="Times New Roman;Times;Serif"/>
          <w:sz w:val="20"/>
          <w:u w:val="single"/>
        </w:rPr>
        <w:t>Interest Share Amount</w:t>
      </w:r>
      <w:r>
        <w:rPr>
          <w:rFonts w:ascii="Times New Roman;Times;Serif" w:hAnsi="Times New Roman;Times;Serif"/>
          <w:sz w:val="20"/>
        </w:rPr>
        <w:t>”). In addition, as a condition to paying interest in shares of Common Stock, as to such Interest Payment Date, but not more than five (5) Trading Days prior to such Interest Payment Date, the Corporation shall have delivered to each Holder’s account with The Depository Trust Company a number of shares of Common Stock to be applied against such Interest Share Amount equal to the quotient of (x) the applicable Interest Share Amount divided by (y) the Interest Conversion Rate in effect as of the Interest Payment Date or, if the Interest Payment Date is not a Trading Day, the most recent Trading Day preceding such Interest Payment Date (the “</w:t>
      </w:r>
      <w:r>
        <w:rPr>
          <w:rFonts w:ascii="Times New Roman;Times;Serif" w:hAnsi="Times New Roman;Times;Serif"/>
          <w:sz w:val="20"/>
          <w:u w:val="single"/>
        </w:rPr>
        <w:t>Interest Conversion Shares</w:t>
      </w:r>
      <w:r>
        <w:rPr>
          <w:rFonts w:ascii="Times New Roman;Times;Serif" w:hAnsi="Times New Roman;Times;Serif"/>
          <w:sz w:val="20"/>
        </w:rPr>
        <w:t xml:space="preserve">”). The Holders shall have the same rights and remedies with respect to the delivery of any such shares as if such shares were being issued pursuant to Section 4. Notwithstanding anything herein to the contrary, from and after the occurrence and during the continuance of any Event of Default, the rate of interest shall increase by 4% per annum relative to the rate being charged as of the date of the Event of Default or, if less, the highest amount permitted by </w:t>
      </w:r>
      <w:r>
        <w:rPr>
          <w:rFonts w:ascii="Times New Roman;Times;Serif" w:hAnsi="Times New Roman;Times;Serif"/>
          <w:spacing w:val="-9"/>
          <w:sz w:val="20"/>
        </w:rPr>
        <w:t>law.</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Interest Calculations</w:t>
      </w:r>
      <w:r>
        <w:rPr>
          <w:rFonts w:ascii="Times New Roman;Times;Serif" w:hAnsi="Times New Roman;Times;Serif"/>
          <w:sz w:val="20"/>
        </w:rPr>
        <w:t>. Interest shall be calculated on the basis of a 360-day year, consisting of twelve 30 calendar day periods, and shall accrue daily commencing on the Original Issue Date until payment in full or conversion in full of the outstanding principal, together with all accrued and unpaid interest, liquidated damages and other amounts which may become due hereunder, has been made. Payment of interest in shares of Common Stock shall otherwise occur pursuant to Section 4(c)(i) herein and, solely for purposes of the payment of interest in shares, the Interest Payment Date shall be deemed the Conversion Date. Interest shall cease to accrue with respect to any principal converted upon the delivery of the Conversion Shares in accordance with Section 4(c)(i) herein. Interest hereunder will be paid to the Person in whose name this Debenture is registered on the records of the Company regarding registration and transfers of this Debenture (the “</w:t>
      </w:r>
      <w:r>
        <w:rPr>
          <w:rFonts w:ascii="Times New Roman;Times;Serif" w:hAnsi="Times New Roman;Times;Serif"/>
          <w:sz w:val="20"/>
          <w:u w:val="single"/>
        </w:rPr>
        <w:t>Debenture Register</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Late Fee</w:t>
      </w:r>
      <w:r>
        <w:rPr>
          <w:rFonts w:ascii="Times New Roman;Times;Serif" w:hAnsi="Times New Roman;Times;Serif"/>
          <w:sz w:val="20"/>
        </w:rPr>
        <w:t>. Any interest, whether paid in cash or shares of Common Stock (or a combination thereof), that is not paid within three Trading Days following an Interest Payment Date shall continue to accrue and shall entail a late fee, which must be paid in cash, at an interest rate equal to the lesser of 12% per annum or the maximum rate permitted by applicable law which shall accrue daily from the Interest Payment Date through and including the date of actual payment in full.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Prepayment</w:t>
      </w:r>
      <w:r>
        <w:rPr>
          <w:rFonts w:ascii="Times New Roman;Times;Serif" w:hAnsi="Times New Roman;Times;Serif"/>
          <w:sz w:val="20"/>
        </w:rPr>
        <w:t xml:space="preserve">. Except as otherwise set forth in this Debenture, the Company may not prepay any portion of the principal amount of this Debenture without the prior written consent of the Holder.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ab/>
      </w:r>
      <w:r>
        <w:rPr>
          <w:rFonts w:ascii="Times New Roman;Times;Serif" w:hAnsi="Times New Roman;Times;Serif"/>
          <w:sz w:val="20"/>
          <w:u w:val="single"/>
        </w:rPr>
        <w:t>Registration of Transfers and Exchanges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Different Denominations</w:t>
      </w:r>
      <w:r>
        <w:rPr>
          <w:rFonts w:ascii="Times New Roman;Times;Serif" w:hAnsi="Times New Roman;Times;Serif"/>
          <w:sz w:val="20"/>
        </w:rPr>
        <w:t>. This Debenture is exchangeable for an equal aggregate principal amount of Debentures of different authorized denominations, as requested by the Holder surrendering the same. No service charge will be payable for such registration of transfer or exchange.</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Investment Representations</w:t>
      </w:r>
      <w:r>
        <w:rPr>
          <w:rFonts w:ascii="Times New Roman;Times;Serif" w:hAnsi="Times New Roman;Times;Serif"/>
          <w:sz w:val="20"/>
        </w:rPr>
        <w:t xml:space="preserve">. This Debenture has been issued subject to certain investment representations of the original Holder set forth in the Purchase Agreement and may be transferred or exchanged only in compliance with the Purchase Agreement and applicable federal and state securities laws and regulations.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Reliance on Debenture Register</w:t>
      </w:r>
      <w:r>
        <w:rPr>
          <w:rFonts w:ascii="Times New Roman;Times;Serif" w:hAnsi="Times New Roman;Times;Serif"/>
          <w:sz w:val="20"/>
        </w:rPr>
        <w:t>. Prior to due presentment for transfer to the Company of this Debenture, the Company and any agent of the Company may treat the Person in whose name this Debenture is duly registered on the Debenture Register as the owner hereof for the purpose of receiving payment as herein provided and for all other purposes, whether or not this Debenture is overdue, and neither the Company nor any such agent shall be affected by notice to the contrary.</w:t>
      </w:r>
    </w:p>
    <w:p>
      <w:pPr>
        <w:pStyle w:val="TextBody"/>
        <w:bidi w:val="0"/>
        <w:jc w:val="both"/>
        <w:rPr/>
      </w:pPr>
      <w:r>
        <w:rPr/>
        <w:t> </w:t>
      </w:r>
    </w:p>
    <w:p>
      <w:pPr>
        <w:pStyle w:val="TextBody"/>
        <w:bidi w:val="0"/>
        <w:ind w:left="0" w:right="0" w:firstLine="144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ab/>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Conversions at Option of Holder</w:t>
      </w:r>
      <w:r>
        <w:rPr>
          <w:rFonts w:ascii="Times New Roman;Times;Serif" w:hAnsi="Times New Roman;Times;Serif"/>
          <w:sz w:val="20"/>
        </w:rPr>
        <w:t xml:space="preserve">. The outstanding principal under each Debenture shall be convertible, in whole or in part (but not in amounts less than $100,000 in principal for each Notice of Conversion except for the last and final Notice of Conversion), at any time and from time to time from and after October 22, 2026 at the option of the Holder thereof, into that number of shares of Common Stock (subject to the limitations set forth in Section 4(d) and Section 4(e)) determined by dividing the outstanding principal amount to be converted by the Conversion Price. Holders shall effect conversions by providing the Corporation with the form of conversion notice attached hereto as </w:t>
      </w:r>
      <w:r>
        <w:rPr>
          <w:rFonts w:ascii="Times New Roman;Times;Serif" w:hAnsi="Times New Roman;Times;Serif"/>
          <w:sz w:val="20"/>
          <w:u w:val="single"/>
        </w:rPr>
        <w:t>Annex A</w:t>
      </w:r>
      <w:r>
        <w:rPr>
          <w:rFonts w:ascii="Times New Roman;Times;Serif" w:hAnsi="Times New Roman;Times;Serif"/>
          <w:sz w:val="20"/>
        </w:rPr>
        <w:t xml:space="preserve"> (a “</w:t>
      </w:r>
      <w:r>
        <w:rPr>
          <w:rFonts w:ascii="Times New Roman;Times;Serif" w:hAnsi="Times New Roman;Times;Serif"/>
          <w:sz w:val="20"/>
          <w:u w:val="single"/>
        </w:rPr>
        <w:t>Notice of Conversion</w:t>
      </w:r>
      <w:r>
        <w:rPr>
          <w:rFonts w:ascii="Times New Roman;Times;Serif" w:hAnsi="Times New Roman;Times;Serif"/>
          <w:sz w:val="20"/>
        </w:rPr>
        <w:t>”). Each Notice of Conversion shall specify the principal amount to be converted, the principal balance prior to the conversion at issue, the principal balance subsequent to the conversion at issue (if any),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sz w:val="20"/>
          <w:u w:val="single"/>
        </w:rPr>
        <w:t>Conversion Date</w:t>
      </w:r>
      <w:r>
        <w:rPr>
          <w:rFonts w:ascii="Times New Roman;Times;Serif" w:hAnsi="Times New Roman;Times;Serif"/>
          <w:sz w:val="20"/>
        </w:rPr>
        <w:t xml:space="preserve">”).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outstanding principal under this Debenture, a Holder shall not be required to surrender the certificate(s) representing the Debenture to the Corporation unless all of the outstanding principal amount represented thereby is so converted, in which case such Holder shall deliver the certificate representing such Debenture promptly following the Conversion Date at issue.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for the Debentures shall equal $4.25,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jc w:val="both"/>
        <w:rPr/>
      </w:pPr>
      <w:r>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Mechanics of Conversion</w:t>
            </w:r>
            <w:r>
              <w:rPr>
                <w:rFonts w:ascii="Times New Roman;Times;Serif" w:hAnsi="Times New Roman;Times;Serif"/>
                <w:sz w:val="20"/>
              </w:rPr>
              <w:t>.</w:t>
            </w:r>
          </w:p>
        </w:tc>
      </w:tr>
    </w:tbl>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Conversion Shares Upon Conversion</w:t>
      </w:r>
      <w:r>
        <w:rPr>
          <w:rFonts w:ascii="Times New Roman;Times;Serif" w:hAnsi="Times New Roman;Times;Serif"/>
          <w:sz w:val="20"/>
        </w:rPr>
        <w:t>. Not later than the Standard Settlement Period (as defined below) after each Conversion Date (the “</w:t>
      </w:r>
      <w:r>
        <w:rPr>
          <w:rFonts w:ascii="Times New Roman;Times;Serif" w:hAnsi="Times New Roman;Times;Serif"/>
          <w:sz w:val="20"/>
          <w:u w:val="single"/>
        </w:rPr>
        <w:t>Share Delivery Date</w:t>
      </w:r>
      <w:r>
        <w:rPr>
          <w:rFonts w:ascii="Times New Roman;Times;Serif" w:hAnsi="Times New Roman;Times;Serif"/>
          <w:sz w:val="20"/>
        </w:rPr>
        <w:t>”), the Corporation shall deliver, or cause to be delivered, to the converting Holder (A) the number of Conversion Shares being acquired upon the conversion of the Debenture which, on or after the earlier of (i) the six month anniversary of October 22, 2026,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interest (if the Corporation has elected or is required to pay accrued interest in cash). The Corporation shall deliver the Conversion Shares required to be delivered by the Corporation under this Section 4 electronically through the Depository Trust Company’s Fast Automated Securities Transfer Program (“</w:t>
      </w:r>
      <w:r>
        <w:rPr>
          <w:rFonts w:ascii="Times New Roman;Times;Serif" w:hAnsi="Times New Roman;Times;Serif"/>
          <w:sz w:val="20"/>
          <w:u w:val="single"/>
        </w:rPr>
        <w:t>FAST</w:t>
      </w:r>
      <w:r>
        <w:rPr>
          <w:rFonts w:ascii="Times New Roman;Times;Serif" w:hAnsi="Times New Roman;Times;Serif"/>
          <w:sz w:val="20"/>
        </w:rPr>
        <w:t>”) or another established clearing corporation performing similar functions.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ind w:left="144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Failure to Deliver Conversion Shares</w:t>
      </w:r>
      <w:r>
        <w:rPr>
          <w:rFonts w:ascii="Times New Roman;Times;Serif" w:hAnsi="Times New Roman;Times;Serif"/>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Debenture (as the case may be) (a “</w:t>
      </w:r>
      <w:r>
        <w:rPr>
          <w:rFonts w:ascii="Times New Roman;Times;Serif" w:hAnsi="Times New Roman;Times;Serif"/>
          <w:sz w:val="20"/>
          <w:u w:val="single"/>
        </w:rPr>
        <w:t>Conversion Failure</w:t>
      </w:r>
      <w:r>
        <w:rPr>
          <w:rFonts w:ascii="Times New Roman;Times;Serif" w:hAnsi="Times New Roman;Times;Serif"/>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sz w:val="20"/>
          <w:u w:val="single"/>
        </w:rPr>
        <w:t>Prepayment Election</w:t>
      </w:r>
      <w:r>
        <w:rPr>
          <w:rFonts w:ascii="Times New Roman;Times;Serif" w:hAnsi="Times New Roman;Times;Serif"/>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Debenture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ind w:left="144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Obligation Absolute; Partial Liquidated Damages</w:t>
      </w:r>
      <w:r>
        <w:rPr>
          <w:rFonts w:ascii="Times New Roman;Times;Serif" w:hAnsi="Times New Roman;Times;Serif"/>
          <w:sz w:val="20"/>
        </w:rPr>
        <w:t>. The Corporation’s obligation to issue and deliver the Conversion Shares upon conversion of a Debenture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Debenture,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Debenture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outstanding principal amount of Debenture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Conversion Shares Upon Conversion</w:t>
      </w:r>
      <w:r>
        <w:rPr>
          <w:rFonts w:ascii="Times New Roman;Times;Serif" w:hAnsi="Times New Roman;Times;Serif"/>
          <w:sz w:val="20"/>
        </w:rPr>
        <w:t>. In addition to any other rights available to the Holder, if the Corporation fails for any reason to deliver to a Holder the applicable Conversion Shares by the Share Delivery Date pursuant to Section 4(c)(i), and the Holder has not rescinded such conversion pursuant to Section 4(c)(ii),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sz w:val="20"/>
          <w:u w:val="single"/>
        </w:rPr>
        <w:t>Buy-In</w:t>
      </w:r>
      <w:r>
        <w:rPr>
          <w:rFonts w:ascii="Times New Roman;Times;Serif" w:hAnsi="Times New Roman;Times;Serif"/>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Debenture equal to the principal amount submitted for conversion (in which case, such conversion shall be deemed rescinded) or deliver to such Holder the number of shares of Common Stock that would have been issued if the Corporation had timely complied with its delivery requirements under Section 4(c)(i). For example, if a Holder purchases shares of Common Stock having a total purchase price of $11,000 to cover a Buy-In with respect to an attempted conversion of a Debenture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Debenture or any part thereof as required pursuant to the terms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Reservation of Shares Issuable Upon Conversion</w:t>
      </w:r>
      <w:r>
        <w:rPr>
          <w:rFonts w:ascii="Times New Roman;Times;Serif" w:hAnsi="Times New Roman;Times;Serif"/>
          <w:sz w:val="20"/>
        </w:rPr>
        <w:t>. The Company covenants that it will reserve and keep available out of its duly authorized and unissued shares of Common Stock, for the sole purpose of issuance upon conversion of this Debenture and payment of interest hereunder, each as herein provided, free from preemptive rights or any other actual contingent purchase rights of Persons other than the Holder (and the other holders of the Debentures), the maximum number of shares of Common Stock then available for such purpose and, from and after the date on which the Company has a sufficient number of authorized and unissued shares of Common Stock available therefor, including following receipt of the Shareholder Approval (as defined in the Purchase Agreement), not less than such aggregate number of shares of Common Stock as shall be issuable (taking into account the adjustments and restrictions of Section 5) upon the conversion of the then outstanding principal amount of this Debenture and payment of interest hereunder. If at any time the Company does not have a sufficient number of authorized and unissued shares of Common Stock available to reserve the number of shares required by the preceding sentence, the Company shall use commercially reasonable efforts to obtain the Shareholder Approval and take such other corporate action as may be necessary to increase its authorized shares of Common Stock or otherwise make available a sufficient number of shares of Common Stock for such purpose, in each case subject to the terms and conditions set forth in Section 4.11 of the Purchase Agreement.  The Company covenants that all shares of Common Stock that shall be so issuable shall, upon issue, be duly authorized, validly issued, fully paid and nonassessable.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this Debenture. As to any fraction of a share which the Holder would otherwise be entitled to purchase upon such conversion, the Company shall round the number of Conversion Shares up to the next whole share.</w:t>
      </w:r>
    </w:p>
    <w:p>
      <w:pPr>
        <w:pStyle w:val="TextBody"/>
        <w:bidi w:val="0"/>
        <w:ind w:left="720" w:right="0" w:hanging="0"/>
        <w:jc w:val="left"/>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                        T</w:t>
      </w:r>
      <w:r>
        <w:rPr>
          <w:rFonts w:ascii="Times New Roman;Times;Serif" w:hAnsi="Times New Roman;Times;Serif"/>
          <w:sz w:val="20"/>
          <w:u w:val="single"/>
        </w:rPr>
        <w:t>ransfer Taxes and Expenses</w:t>
      </w:r>
      <w:r>
        <w:rPr>
          <w:rFonts w:ascii="Times New Roman;Times;Serif" w:hAnsi="Times New Roman;Times;Serif"/>
          <w:sz w:val="20"/>
        </w:rPr>
        <w:t>. The issuance of Conversion Shares on conversion of this Debenture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processing of the Conversion.</w:t>
      </w:r>
    </w:p>
    <w:p>
      <w:pPr>
        <w:pStyle w:val="TextBody"/>
        <w:bidi w:val="0"/>
        <w:ind w:left="216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Holder’s Conversion Limitations</w:t>
      </w:r>
      <w:r>
        <w:rPr>
          <w:rFonts w:ascii="Times New Roman;Times;Serif" w:hAnsi="Times New Roman;Times;Serif"/>
          <w:sz w:val="20"/>
        </w:rPr>
        <w:t>. The Company shall not effect any conversion of this Debenture, and a Holder shall not have the right to convert any portion of this Debenture, to the extent that after giving effect to the Conversion, the Holder (together with the Holder’s Affiliates, and any other Persons acting as a group together with such Holder or any of such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Debenture with respect to which such determination is being made, but shall exclude the number of shares of Common Stock which would be issuable upon (i) conversion of the remaining, unconverted outstanding principal amount of this Debenture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Debentures or the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Debenture is convertible (in relation to other securities owned by the Holder together with any Affiliates and Attribution Parties) and of what portion of the outstanding principal amount of this Debenture is convertible shall be in the sole discretion of the Holder, and the submission of a Notice of Conversion shall be deemed to be such Holder’s determination of whether the Debenture may be converted (in relation to other securities owned by such Holder together with any Affiliates and Attribution Parties) and how much of the outstanding principal amount of the Debenture is convertible, in each case subject to the Beneficial Ownership Limitation. To ensure compliance with this restriction, the Holder will be deemed to represent to the Company each time it delivers a Notice of Conversion that such Notice of Conversion has not violated the restrictions set forth in this paragraph and the Company shall have no obligation to verify or confirm the accuracy of such determination; provided that for purposes of this Section 4(d), the Holder shall be entitled to rely on: (i) the Company’s most recent periodic or annual report filed with the Commission, (ii) a more recent public announcement by the Company, or (iii) a more recent written notice by the Company or the Transfer Agent setting forth the number of shares of Common Stock outstanding. In addition, a determination as to any group status as contemplated above shall be determined in accordance with Section 13(d) of the Exchange Act and the rules and regulations promulgated thereunder. Upon the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conversion of this Debenture into Common Stock and the exercise of the Warrants, by such Holder or its Affiliates or Attribution Parties since the date as of which such number of outstanding shares of Common Stock was reported. The “</w:t>
      </w:r>
      <w:r>
        <w:rPr>
          <w:rFonts w:ascii="Times New Roman;Times;Serif" w:hAnsi="Times New Roman;Times;Serif"/>
          <w:sz w:val="20"/>
          <w:u w:val="single"/>
        </w:rPr>
        <w:t xml:space="preserve">Beneficial Ownership Limitation” </w:t>
      </w:r>
      <w:r>
        <w:rPr>
          <w:rFonts w:ascii="Times New Roman;Times;Serif" w:hAnsi="Times New Roman;Times;Serif"/>
          <w:sz w:val="20"/>
        </w:rPr>
        <w:t xml:space="preserve">shall be 9.99% of the number of shares of the Common Stock outstanding immediately after giving effect to the issuance of shares of Common Stock issuable upon conversion of this Debenture. In the event that the issuance of shares of Common Stock to the Holder upon conversion of this Debenture into Common Stock results in the Holder together with any Affiliates and Attribution Parties being deemed to beneficially own, in the aggregate, a number of outstanding shares of Common Stock in excess of the Beneficial Ownership Limitation, the number of shares </w:t>
      </w:r>
      <w:r>
        <w:rPr>
          <w:rFonts w:ascii="Times New Roman;Times;Serif" w:hAnsi="Times New Roman;Times;Serif"/>
          <w:spacing w:val="-9"/>
          <w:sz w:val="20"/>
        </w:rPr>
        <w:t xml:space="preserve">of Common Stock </w:t>
      </w:r>
      <w:r>
        <w:rPr>
          <w:rFonts w:ascii="Times New Roman;Times;Serif" w:hAnsi="Times New Roman;Times;Serif"/>
          <w:sz w:val="20"/>
        </w:rPr>
        <w:t>so issued by which the Holder’s together with any of its Affiliates’ and Attribution Parties’ aggregate beneficial ownership of shares of Common Stock exceeds the Beneficial Ownership Limitation (the “Excess Shares”) shall be deemed null and void and shall be cancelled ab initio, and the Holder shall not have the power to vote or to transfer the Excess Shares. The Holder, upon notice to the Company, may increase or decrease the Beneficial Ownership Limitation provisions of this Section 4(d) applicable to this Debenture provided that the Beneficial Ownership Limitation in no event exceeds 9.99% of the number of shares of the Common Stock outstanding immediately after giving effect to the issuance of shares of Common Stock upon conversion of this Debenture, held by the Holder and the Beneficial Ownership Limitation provisions of this Section 4(d)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and shall only apply to such Holder and no other Holder. The provisions of this paragraph shall be construed and implemented in a manner otherwise than in strict conformity with the terms of this Section 4(c)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Debenture.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Issuance Limitations</w:t>
      </w:r>
      <w:r>
        <w:rPr>
          <w:rFonts w:ascii="Times New Roman;Times;Serif" w:hAnsi="Times New Roman;Times;Serif"/>
          <w:sz w:val="20"/>
        </w:rPr>
        <w:t xml:space="preserve">. Notwithstanding anything herein to the contrary, if the Corporation has not obtained Shareholder Approval, then the Corporation may not issue, upon conversion of this Debenture, a number of shares of Common Stock which, when aggregated with any shares of Common Stock issued on or after the Original Issue Date and prior to such Conversion Date (i) in connection with any conversion of any Debenture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principal amount of such Holder’s Debenture by (y) the aggregate principal amount of all Debentures issued on the Original Issue Date to all Holders. In addition, each Holder may allocate its pro-rata portion of the Issuable Maximum among Debentures and Warrants held by it in its sole discretion. Such portion shall be adjusted upward ratably in the event a Holder no longer holds any Debentures or Warrants and the amount of shares issued to such Holder pursuant to such Holder’s Debentures and Warrants was less than such Holder’s pro-rata share of the Issuable Maximum. </w:t>
      </w:r>
    </w:p>
    <w:p>
      <w:pPr>
        <w:pStyle w:val="TextBody"/>
        <w:bidi w:val="0"/>
        <w:ind w:left="1800" w:right="0" w:hanging="0"/>
        <w:jc w:val="both"/>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 Until this Debenture has been paid or converted in full, the Conversion Price shall be subject to adjustment from time-to-time as follows: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Stock Splits</w:t>
      </w:r>
      <w:r>
        <w:rPr>
          <w:rFonts w:ascii="Times New Roman;Times;Serif" w:hAnsi="Times New Roman;Times;Serif"/>
          <w:sz w:val="20"/>
        </w:rPr>
        <w:t xml:space="preserve">. If, at any time while any Debentures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interest on this Debenture,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w:t>
      </w:r>
      <w:r>
        <w:rPr>
          <w:rFonts w:ascii="Times New Roman;Times;Serif" w:hAnsi="Times New Roman;Times;Serif"/>
          <w:spacing w:val="-2"/>
          <w:sz w:val="20"/>
        </w:rPr>
        <w:t>securities),</w:t>
      </w:r>
      <w:r>
        <w:rPr>
          <w:rFonts w:ascii="Times New Roman;Times;Serif" w:hAnsi="Times New Roman;Times;Serif"/>
          <w:sz w:val="20"/>
        </w:rPr>
        <w:t xml:space="preserve">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5(a)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at any time subsequent to the First Closing Date, and while any Debentures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sz w:val="20"/>
          <w:u w:val="single"/>
        </w:rPr>
        <w:t>Base Conversion Price</w:t>
      </w:r>
      <w:r>
        <w:rPr>
          <w:rFonts w:ascii="Times New Roman;Times;Serif" w:hAnsi="Times New Roman;Times;Serif"/>
          <w:sz w:val="20"/>
        </w:rPr>
        <w:t>” and any such issuance, a “</w:t>
      </w:r>
      <w:r>
        <w:rPr>
          <w:rFonts w:ascii="Times New Roman;Times;Serif" w:hAnsi="Times New Roman;Times;Serif"/>
          <w:sz w:val="20"/>
          <w:u w:val="single"/>
        </w:rPr>
        <w:t>Dilutive Issuance</w:t>
      </w:r>
      <w:r>
        <w:rPr>
          <w:rFonts w:ascii="Times New Roman;Times;Serif" w:hAnsi="Times New Roman;Times;Serif"/>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5(b) in respect of an Exempt Issuance. The Corporation shall notify the Holders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For purposes of clarification, whether or not the Corporation provides a Dilutive Issuance Notice pursuant to this Section 5(b),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Times;Serif" w:hAnsi="Times New Roman;Times;Serif"/>
          <w:sz w:val="20"/>
          <w:u w:val="single"/>
        </w:rPr>
        <w:t>Applicable Conversion Price</w:t>
      </w:r>
      <w:r>
        <w:rPr>
          <w:rFonts w:ascii="Times New Roman;Times;Serif" w:hAnsi="Times New Roman;Times;Serif"/>
          <w:sz w:val="20"/>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principal amount of the Holder’s Debentures that remains unconverted following such conversion. For purposes of this section, “</w:t>
      </w:r>
      <w:r>
        <w:rPr>
          <w:rFonts w:ascii="Times New Roman;Times;Serif" w:hAnsi="Times New Roman;Times;Serif"/>
          <w:sz w:val="20"/>
          <w:u w:val="single"/>
        </w:rPr>
        <w:t>Economic Difference</w:t>
      </w:r>
      <w:r>
        <w:rPr>
          <w:rFonts w:ascii="Times New Roman;Times;Serif" w:hAnsi="Times New Roman;Times;Serif"/>
          <w:spacing w:val="34"/>
          <w:sz w:val="20"/>
          <w:u w:val="single"/>
        </w:rPr>
        <w:t xml:space="preserve">” </w:t>
      </w:r>
      <w:r>
        <w:rPr>
          <w:rFonts w:ascii="Times New Roman;Times;Serif" w:hAnsi="Times New Roman;Times;Serif"/>
          <w:sz w:val="20"/>
        </w:rPr>
        <w:t xml:space="preserve">shall be equal to (A) the number of shares of Common Stock that would have been delivered </w:t>
      </w:r>
      <w:r>
        <w:rPr>
          <w:rFonts w:ascii="Times New Roman;Times;Serif" w:hAnsi="Times New Roman;Times;Serif"/>
          <w:spacing w:val="-10"/>
          <w:sz w:val="20"/>
        </w:rPr>
        <w:t xml:space="preserve">upon conversion of the Conversion Amount at </w:t>
      </w:r>
      <w:r>
        <w:rPr>
          <w:rFonts w:ascii="Times New Roman;Times;Serif" w:hAnsi="Times New Roman;Times;Serif"/>
          <w:sz w:val="20"/>
        </w:rPr>
        <w:t xml:space="preserve">the Applicable Conversion Price, minus (B) the number of shares of Common Stock </w:t>
      </w:r>
      <w:r>
        <w:rPr>
          <w:rFonts w:ascii="Times New Roman;Times;Serif" w:hAnsi="Times New Roman;Times;Serif"/>
          <w:spacing w:val="-10"/>
          <w:sz w:val="20"/>
        </w:rPr>
        <w:t xml:space="preserve">actually </w:t>
      </w:r>
      <w:r>
        <w:rPr>
          <w:rFonts w:ascii="Times New Roman;Times;Serif" w:hAnsi="Times New Roman;Times;Serif"/>
          <w:sz w:val="20"/>
        </w:rPr>
        <w:t>delivered upon conversion of the Conversion Amount at the Floor Price, multiplied by (C) the lower of (1) the daily VWAP of the Common Stock on the Conversion Date, and (2) the Applicable Conversion Price, as reflected in the following formula: ((A - B) * C).</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If at any time while this Debenture remains outstanding,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Debenture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If, at any time while this Debenture remains outstanding, the Company declares or makes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Debenture, then, in each such case, the Holder shall be entitled to participate in such Distribution to the same extent that the Holder would have participated therein if the Holder had held the number of shares of Common Stock acquirable upon complete conversion of this Debenture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this Debenture remains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Debenture, the Holder shall have the right to receive, for each Conversion Share that would have been issuable upon such conversion immediately prior to the occurrence of such Fundamental Transaction (without regard to any limitation in Section 4(d) and Section 4(e) on the conversion of this Debenture),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Debenture is convertible immediately prior to such Fundamental Transaction (without regard to any limitation in Section 4(d) and Section 4(e) on the conversion of this Debenture).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Debenture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Debenture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Debenture, deliver to the Holder in exchange for this Debenture a security of the Successor Entity evidenced by a written instrument substantially similar in form and substance to this Debenture which is convertible for a corresponding number of shares of capital stock of such Successor Entity (or its parent entity) equivalent to the shares of Common Stock acquirable and receivable upon conversion of this Debenture (without regard to any limitations on the conversion of this Debenture)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Debenture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Debenture and the other Transaction Documents referring to the “Company” or the “Corporation” shall refer instead to the Successor Entity), and may exercise every right and power of the Company and shall assume all of the obligations of the Company under this Debenture and the other Transaction Documents with the same effect as if such Successor Entity had been named as the Company herein.</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the Corporation) issued and outstanding.</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the Holder</w:t>
      </w:r>
      <w:r>
        <w:rPr>
          <w:rFonts w:ascii="Times New Roman;Times;Serif" w:hAnsi="Times New Roman;Times;Serif"/>
          <w:sz w:val="20"/>
        </w:rPr>
        <w:t>.</w:t>
      </w:r>
    </w:p>
    <w:p>
      <w:pPr>
        <w:pStyle w:val="TextBody"/>
        <w:bidi w:val="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xml:space="preserve">. Whenever the Conversion Price is adjusted pursuant to any provision of this Section 5, the Company shall promptly deliver by email to the Holder a notice setting forth the Conversion Price after such adjustment and setting forth a brief statement of the facts requiring such adjustment. </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Debenture, and shall cause to be delivered by email to the Holder at its last email address as it shall appear upon the Debenture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p>
    <w:p>
      <w:pPr>
        <w:pStyle w:val="TextBody"/>
        <w:bidi w:val="0"/>
        <w:ind w:left="1440" w:right="0" w:firstLine="72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w:t>
        <w:tab/>
      </w:r>
      <w:r>
        <w:rPr>
          <w:rFonts w:ascii="Times New Roman;Times;Serif" w:hAnsi="Times New Roman;Times;Serif"/>
          <w:sz w:val="20"/>
          <w:u w:val="single"/>
        </w:rPr>
        <w:t>Reserved</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w:t>
        <w:tab/>
      </w:r>
      <w:r>
        <w:rPr>
          <w:rFonts w:ascii="Times New Roman;Times;Serif" w:hAnsi="Times New Roman;Times;Serif"/>
          <w:sz w:val="20"/>
          <w:u w:val="single"/>
        </w:rPr>
        <w:t>Negative Covenants</w:t>
      </w:r>
      <w:r>
        <w:rPr>
          <w:rFonts w:ascii="Times New Roman;Times;Serif" w:hAnsi="Times New Roman;Times;Serif"/>
          <w:sz w:val="20"/>
        </w:rPr>
        <w:t>. As long as at least $2,250,000 in aggregate principal amount of the Debentures remain outstanding, unless the Required Holders shall have otherwise given prior written consent, the Company shall not directly or indirectly:</w:t>
      </w:r>
    </w:p>
    <w:p>
      <w:pPr>
        <w:pStyle w:val="TextBody"/>
        <w:bidi w:val="0"/>
        <w:ind w:left="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other than Permitted Indebtedness, enter into, create, incur, assume, guarantee or suffer to exist any, Indebtedness;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[Intentionally Omitted]; </w:t>
      </w:r>
    </w:p>
    <w:p>
      <w:pPr>
        <w:pStyle w:val="TextBody"/>
        <w:bidi w:val="0"/>
        <w:ind w:left="720" w:right="0" w:firstLine="72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repay, repurchase or offer to repay, repurchase or otherwise acquire more than a </w:t>
      </w:r>
      <w:r>
        <w:rPr>
          <w:rFonts w:ascii="Times New Roman;Times;Serif" w:hAnsi="Times New Roman;Times;Serif"/>
          <w:sz w:val="20"/>
          <w:u w:val="single"/>
        </w:rPr>
        <w:t>de minimis</w:t>
      </w:r>
      <w:r>
        <w:rPr>
          <w:rFonts w:ascii="Times New Roman;Times;Serif" w:hAnsi="Times New Roman;Times;Serif"/>
          <w:sz w:val="20"/>
        </w:rPr>
        <w:t xml:space="preserve"> number of shares of its Common Stock or Common Stock Equivalents other than as to (i) the Debentures, Additional Debentures, Conversion Shares, Interest Conversion Shares or Warrant Shares as permitted or required under the Transaction Documents and (ii) repurchases of Common Stock or Common Stock Equivalents of departing officers and directors of the Company, provided that such repurchases shall not exceed an aggregate of $100,000 for all officers and directors during term of this Debenture;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pay cash dividends or distributions on any equity securities of the Company;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enter into any transaction with any Affiliate of the Company which would be required to be disclosed in any public filing with the Commission (as determined by counsel to the Company), unless such transaction is made on an arm’s-length basis and expressly approved by a majority of the disinterested directors of the Company (even if less than a quorum otherwise required for Board approval), provided that this provision shall not apply to the transactions contemplated by the Purchase Agreement;</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enter into any agreement with respect to any of the foregoing.</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8</w:t>
      </w:r>
      <w:r>
        <w:rPr>
          <w:rFonts w:ascii="Times New Roman;Times;Serif" w:hAnsi="Times New Roman;Times;Serif"/>
          <w:sz w:val="20"/>
        </w:rPr>
        <w:t>.</w:t>
        <w:tab/>
      </w:r>
      <w:r>
        <w:rPr>
          <w:rFonts w:ascii="Times New Roman;Times;Serif" w:hAnsi="Times New Roman;Times;Serif"/>
          <w:sz w:val="20"/>
          <w:u w:val="single"/>
        </w:rPr>
        <w:t>Events of Default</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Event of Default</w:t>
      </w:r>
      <w:r>
        <w:rPr>
          <w:rFonts w:ascii="Times New Roman;Times;Serif" w:hAnsi="Times New Roman;Times;Serif"/>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ind w:left="72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                        other than defaults covered by Section 8(a)(ii), any default in the payment of (A) the principal amount of any Debenture or (B) interest or other amounts owing to a Holder on any Debenture, as and when the same shall become due and payable (whether on the Conversion Date or the Maturity Date, or by acceleration or otherwise) which default is not cured within three (3) Trading Days;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                        any failure to timely deliver the Conversion Shares or Interest Conversion Shares (except, in the case of Interest Conversion Shares, as a result of Equity Conditions not being met) as and when required under this Debenture (unless such failure resulted from delay, negligence or misconduct by the Company’s transfer agent) which default is not cured within three (3) Trading Days;</w:t>
      </w:r>
    </w:p>
    <w:p>
      <w:pPr>
        <w:pStyle w:val="TextBody"/>
        <w:bidi w:val="0"/>
        <w:ind w:left="1440" w:right="0" w:firstLine="72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iii.                        the Company shall fail to perform any other material covenant or agreement contained in the Debentures or in any Transaction Document, which failure is not cured, if possible to cure, within the earlier to occur of (A) five (5) Trading Days after receipt by the Company of written notice of such failure from the Holder (or any other Holder), and (B) ten (10) Trading Days after an executive officer of the Company has become aware of such failure;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iv.                        a default or event of default (subject to any notice requirement, grace period or cure period provided in the applicable agreement, document or instrument) shall occur under any of the Transaction Documents;</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                        any representation or warranty made in this Debenture, or in any other Transaction Documents, or in any certificate made or delivered to the Holder or to any other Holder hereto or thereto, shall be untrue or incorrect in any material respect as of the date made or deemed made;</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                        the Company shall be subject to a Bankruptcy Event;</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 xml:space="preserve">vii.                        the Company shall default on any of its obligations under any mortgage, credit agreement or other facility, indenture agreement, factoring agreement or other similar agreement under which there may be issued, or by which there may be secured or evidenced, any indebtedness for borrowed money or money due under any long term leasing or factoring arrangement that involves an obligation greater than $250,000, whether such indebtedness now exists or shall hereafter be created, and results in such indebtedness becoming or being declared due and payable prior to the date on which it would otherwise become due and payable; </w:t>
      </w:r>
    </w:p>
    <w:p>
      <w:pPr>
        <w:pStyle w:val="TextBody"/>
        <w:bidi w:val="0"/>
        <w:ind w:left="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viii.                        the Company issues or incurs Indebtedness or grants a security interest to a Person which gives such Person priority over the Holder in the event of a default or event of default thereunder, except any Permitted Indebtedness or Permitted Liens; and</w:t>
      </w:r>
    </w:p>
    <w:p>
      <w:pPr>
        <w:pStyle w:val="TextBody"/>
        <w:bidi w:val="0"/>
        <w:ind w:left="2160" w:right="0" w:hanging="0"/>
        <w:jc w:val="both"/>
        <w:rPr/>
      </w:pPr>
      <w:r>
        <w:rPr/>
        <w:t> </w:t>
      </w:r>
    </w:p>
    <w:p>
      <w:pPr>
        <w:pStyle w:val="TextBody"/>
        <w:bidi w:val="0"/>
        <w:ind w:left="1440" w:right="0" w:firstLine="720"/>
        <w:jc w:val="both"/>
        <w:rPr>
          <w:rFonts w:ascii="Times New Roman;Times;Serif" w:hAnsi="Times New Roman;Times;Serif"/>
          <w:sz w:val="20"/>
        </w:rPr>
      </w:pPr>
      <w:r>
        <w:rPr>
          <w:rFonts w:ascii="Times New Roman;Times;Serif" w:hAnsi="Times New Roman;Times;Serif"/>
          <w:sz w:val="20"/>
        </w:rPr>
        <w:t>ix.                        any final enforceable monetary judgment, writ or similar final process shall be entered or filed against the Company or its property or other assets for more than $250,000 (except to the extent fully covered by insurance pursuant to which the insurer has not denied coverage), and such judgment, writ or similar final process shall remain unvacated, unbonded or unstayed for a period of 60 calendar days.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Remedies Upon Event of Default</w:t>
      </w:r>
      <w:r>
        <w:rPr>
          <w:rFonts w:ascii="Times New Roman;Times;Serif" w:hAnsi="Times New Roman;Times;Serif"/>
          <w:sz w:val="20"/>
        </w:rPr>
        <w:t>. If any Event of Default occurs and is continuing, the outstanding principal amount of this Debenture, plus accrued but unpaid interest and other amounts owing in respect thereof, shall become, at the Holder’s election, immediately due and payable in cash. Commencing upon the occurrence and during the continuance of any Event of Default, the interest rate on this Debenture shall accrue at an interest rate equal to the lesser of 12% per annum or the maximum rate permitted under applicable law. Upon the payment in full or conversion in full of this Debenture, the Holder shall promptly surrender this Debenture to or as directed by the Company. In connection with the existence of an Event of Default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Debenture until such time, if any, as the Holder receives full payment pursuant to this Section 8(b). No such rescission or annulment shall affect any subsequent Event of Default or impair any right consequent thereon. Nothing herein shall modify the Company’s obligation to pay principal and interest, each when due, and the Holder shall retain all rights to collect any such amounts by all available legal processes.</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b/>
      </w:r>
      <w:r>
        <w:rPr>
          <w:rFonts w:ascii="Times New Roman;Times;Serif" w:hAnsi="Times New Roman;Times;Serif"/>
          <w:sz w:val="20"/>
          <w:u w:val="single"/>
        </w:rPr>
        <w:t>Section 9</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Attention: Chief Financial Officer, e-mail address CFO@expion360.com, or such other e-mail address, or address as the Company may specify for such purposes by notice to the Holder delivered in accordance with this Section 9(a).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address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xml:space="preserve">. Except as expressly provided herein, no provision of this Debenture shall alter or impair the obligation of the Company, which is absolute and unconditional, to pay the principal of, liquidated damages and accrued interest, as applicable, on this Debenture at the time, place, and rate, and in the coin or currency, herein prescribed. This Debenture is a direct debt obligation of the Company. This Debenture ranks pari passu with all other Debentures issued pursuant to the Purchase Agreement.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Debenture</w:t>
      </w:r>
      <w:r>
        <w:rPr>
          <w:rFonts w:ascii="Times New Roman;Times;Serif" w:hAnsi="Times New Roman;Times;Serif"/>
          <w:sz w:val="20"/>
        </w:rPr>
        <w:t>. If this Debenture shall be mutilated, lost, stolen or destroyed, the Company shall execute and deliver, in exchange and substitution for and upon cancellation of a mutilated Debenture, or in lieu of or in substitution for a lost, stolen or destroyed Debenture, a new Debenture for the principal amount of this Debenture so mutilated, lost, stolen or destroyed, but only upon receipt of evidence of such loss, theft or destruction of such Debenture, and of the ownership hereof, reasonably satisfactory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Debenture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only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Debenture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Debenture or the transactions contemplated hereby. If any party shall commence an action or proceeding to enforce any provisions of this Debenture,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 and Amendment</w:t>
      </w:r>
      <w:r>
        <w:rPr>
          <w:rFonts w:ascii="Times New Roman;Times;Serif" w:hAnsi="Times New Roman;Times;Serif"/>
          <w:sz w:val="20"/>
        </w:rPr>
        <w:t xml:space="preserve">. Any waiver by the Company or the Holder of a breach of any provision of this Debenture shall not operate as or be construed to be a waiver of any other breach of such provision or of any breach of any other provision of this Debenture. The failure of the Company or the Holder to insist upon strict adherence to any term of this Debenture on one or more occasions shall not be considered a waiver or deprive that party of the right thereafter to insist upon strict adherence to that term or any other term of this Debenture on any other occasion. Any waiver by the Company or the Holder must be in writing. Any amendment of this Debenture must be pursuant to a written agreement between the Holder and the Company. Notwithstanding the foregoing, any provision of this Debenture may be waived or amended on behalf of all holders of the Debentures by the affirmative vote or written consent of the Requisite Holders.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and the Company hereby expressly waives all benefits or advantage of any such law.</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Remedies, Characterizations, Other Obligations, Breaches and Injunctive Relief</w:t>
      </w:r>
      <w:r>
        <w:rPr>
          <w:rFonts w:ascii="Times New Roman;Times;Serif" w:hAnsi="Times New Roman;Times;Serif"/>
          <w:sz w:val="20"/>
        </w:rPr>
        <w:t>.  The remedies provided in this Debenture shall be cumulative and in addition to all other remedies available under this Debenture and any of the other Transaction Documents at law or in equity (including a decree of specific performance and/or other injunctive relief), and nothing herein shall limit the Holder’s right to pursue damages for any failure by the Company to comply with the terms of this Debenture.  The Company acknowledges that a breach by it of its obligations hereunder will cause irreparable harm to the Holder and that the remedy at law for any such breach may be inadequate. The Company therefore agrees that, in the event of any such breach, the Holder shall be entitled, in addition to all other available remedies, to an injunction restraining any such breach.</w:t>
      </w:r>
    </w:p>
    <w:p>
      <w:pPr>
        <w:pStyle w:val="TextBody"/>
        <w:bidi w:val="0"/>
        <w:ind w:left="144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Debenture and shall not be deemed to limit or affect any of the provisions hereof.</w:t>
      </w:r>
    </w:p>
    <w:p>
      <w:pPr>
        <w:pStyle w:val="TextBody"/>
        <w:bidi w:val="0"/>
        <w:ind w:left="1440" w:right="0" w:hanging="0"/>
        <w:jc w:val="both"/>
        <w:rPr/>
      </w:pPr>
      <w:r>
        <w:rPr/>
        <w:t> </w:t>
      </w:r>
    </w:p>
    <w:p>
      <w:pPr>
        <w:pStyle w:val="TextBody"/>
        <w:bidi w:val="0"/>
        <w:spacing w:before="0" w:after="12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Successors and Assigns</w:t>
      </w:r>
      <w:r>
        <w:rPr>
          <w:rFonts w:ascii="Times New Roman;Times;Serif" w:hAnsi="Times New Roman;Times;Serif"/>
          <w:sz w:val="20"/>
        </w:rPr>
        <w:t>. Subject to compliance with any applicable securities laws and Section 4.1 of the Purchase Agreement, this Debenture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ind w:left="144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Section 10. </w:t>
      </w:r>
      <w:r>
        <w:rPr>
          <w:rFonts w:ascii="Times New Roman;Times;Serif" w:hAnsi="Times New Roman;Times;Serif"/>
          <w:sz w:val="20"/>
          <w:u w:val="single"/>
        </w:rPr>
        <w:t>Disclosure</w:t>
      </w:r>
      <w:r>
        <w:rPr>
          <w:rFonts w:ascii="Times New Roman;Times;Serif" w:hAnsi="Times New Roman;Times;Serif"/>
          <w:sz w:val="20"/>
        </w:rPr>
        <w:t>. Upon receipt or delivery by the Company of any notice in accordance with the terms of this Debenture, unless the Company has in good faith determined that the matters relating to such notice do not constitute material, nonpublic information relating to the Company or its Subsidiaries, the Company shall within two (2) Business Days after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pStyle w:val="TextBody"/>
        <w:bidi w:val="0"/>
        <w:ind w:left="1440" w:right="0" w:hanging="0"/>
        <w:jc w:val="both"/>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IN WITNESS WHEREOF, the Company and Holder have caused this Amended and Restated Debenture to be duly executed by a duly authorized officer as of the date first above indicated.</w:t>
      </w:r>
    </w:p>
    <w:p>
      <w:pPr>
        <w:pStyle w:val="TextBody"/>
        <w:bidi w:val="0"/>
        <w:jc w:val="both"/>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 xml:space="preserve">Email: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both"/>
        <w:rPr/>
      </w:pPr>
      <w:r>
        <w:rPr/>
        <w:t> </w:t>
      </w:r>
    </w:p>
    <w:p>
      <w:pPr>
        <w:pStyle w:val="TextBody"/>
        <w:bidi w:val="0"/>
        <w:jc w:val="both"/>
        <w:rPr>
          <w:rFonts w:ascii="Times New Roman;Times;Serif" w:hAnsi="Times New Roman;Times;Serif"/>
          <w:b/>
          <w:sz w:val="20"/>
        </w:rPr>
      </w:pPr>
      <w:r>
        <w:rPr>
          <w:rFonts w:ascii="Times New Roman;Times;Serif" w:hAnsi="Times New Roman;Times;Serif"/>
          <w:b/>
          <w:sz w:val="20"/>
        </w:rPr>
        <w:tab/>
        <w:t>NOTICE OF CONVERSION</w:t>
      </w:r>
    </w:p>
    <w:p>
      <w:pPr>
        <w:pStyle w:val="TextBody"/>
        <w:bidi w:val="0"/>
        <w:jc w:val="both"/>
        <w:rPr>
          <w:rFonts w:ascii="Times New Roman;Times;Serif" w:hAnsi="Times New Roman;Times;Serif"/>
          <w:b/>
          <w:sz w:val="20"/>
        </w:rPr>
      </w:pPr>
      <w:r>
        <w:rPr>
          <w:rFonts w:ascii="Times New Roman;Times;Serif" w:hAnsi="Times New Roman;Times;Serif"/>
          <w:b/>
          <w:sz w:val="20"/>
        </w:rPr>
        <w:tab/>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jc w:val="both"/>
        <w:rPr/>
      </w:pPr>
      <w:r>
        <w:rPr/>
        <w:t> </w:t>
      </w:r>
    </w:p>
    <w:p>
      <w:pPr>
        <w:pStyle w:val="TextBody"/>
        <w:bidi w:val="0"/>
        <w:ind w:left="0" w:right="0" w:hanging="0"/>
        <w:jc w:val="right"/>
        <w:rPr>
          <w:rFonts w:ascii="Times New Roman;Times;Serif" w:hAnsi="Times New Roman;Times;Serif"/>
          <w:b/>
          <w:sz w:val="20"/>
        </w:rPr>
      </w:pPr>
      <w:bookmarkStart w:id="26" w:name="ex4_2.htm"/>
      <w:bookmarkStart w:id="27" w:name="ksex4_2"/>
      <w:bookmarkEnd w:id="26"/>
      <w:bookmarkEnd w:id="27"/>
      <w:r>
        <w:rPr>
          <w:rFonts w:ascii="Times New Roman;Times;Serif" w:hAnsi="Times New Roman;Times;Serif"/>
          <w:b/>
          <w:sz w:val="20"/>
        </w:rPr>
        <w:t>Exhibit 4.2</w:t>
      </w:r>
      <w:r>
        <w:br w:type="page"/>
      </w:r>
    </w:p>
    <w:p>
      <w:pPr>
        <w:pStyle w:val="TextBody"/>
        <w:bidi w:val="0"/>
        <w:ind w:left="0" w:right="0" w:hanging="0"/>
        <w:jc w:val="right"/>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w:t>
      </w:r>
    </w:p>
    <w:p>
      <w:pPr>
        <w:pStyle w:val="TextBody"/>
        <w:bidi w:val="0"/>
        <w:jc w:val="center"/>
        <w:rPr>
          <w:rFonts w:ascii="Times New Roman;Times;Serif" w:hAnsi="Times New Roman;Times;Serif"/>
          <w:b/>
          <w:sz w:val="20"/>
        </w:rPr>
      </w:pPr>
      <w:r>
        <w:rPr>
          <w:rFonts w:ascii="Times New Roman;Times;Serif" w:hAnsi="Times New Roman;Times;Serif"/>
          <w:b/>
          <w:sz w:val="20"/>
        </w:rPr>
        <w:t>AMENDED AND RESTATED COMMON STOCK PURCHASE WARRANT</w:t>
      </w:r>
    </w:p>
    <w:p>
      <w:pPr>
        <w:pStyle w:val="TextBody"/>
        <w:bidi w:val="0"/>
        <w:jc w:val="both"/>
        <w:rPr/>
      </w:pPr>
      <w:r>
        <w:rPr/>
        <w:t> </w:t>
      </w:r>
    </w:p>
    <w:p>
      <w:pPr>
        <w:pStyle w:val="TextBody"/>
        <w:bidi w:val="0"/>
        <w:spacing w:before="0" w:after="240"/>
        <w:jc w:val="center"/>
        <w:rPr>
          <w:rFonts w:ascii="Times New Roman;Times;Serif" w:hAnsi="Times New Roman;Times;Serif"/>
          <w:b/>
          <w:caps/>
          <w:sz w:val="20"/>
        </w:rPr>
      </w:pPr>
      <w:r>
        <w:rPr>
          <w:rFonts w:ascii="Times New Roman;Times;Serif" w:hAnsi="Times New Roman;Times;Serif"/>
          <w:b/>
          <w:caps/>
          <w:sz w:val="20"/>
        </w:rPr>
        <w:t>expion ENERGY, inc.</w:t>
      </w:r>
    </w:p>
    <w:p>
      <w:pPr>
        <w:pStyle w:val="TextBody"/>
        <w:bidi w:val="0"/>
        <w:spacing w:before="240" w:after="240"/>
        <w:ind w:left="240" w:right="240" w:hanging="0"/>
        <w:jc w:val="both"/>
        <w:rPr>
          <w:rFonts w:ascii="Times New Roman;Times;Serif" w:hAnsi="Times New Roman;Times;Serif"/>
          <w:sz w:val="20"/>
        </w:rPr>
      </w:pPr>
      <w:r>
        <w:rPr>
          <w:rFonts w:ascii="Times New Roman;Times;Serif" w:hAnsi="Times New Roman;Times;Serif"/>
          <w:sz w:val="20"/>
        </w:rPr>
        <w:t>Warrant Shares: [__________]</w:t>
        <w:tab/>
        <w:t xml:space="preserve"> </w:t>
        <w:tab/>
        <w:t xml:space="preserve"> </w:t>
        <w:tab/>
        <w:t xml:space="preserve"> Initial Exercise Date: August 21, 2026</w:t>
      </w:r>
    </w:p>
    <w:p>
      <w:pPr>
        <w:pStyle w:val="TextBody"/>
        <w:bidi w:val="0"/>
        <w:jc w:val="both"/>
        <w:rPr>
          <w:caps/>
        </w:rPr>
      </w:pPr>
      <w:r>
        <w:rPr>
          <w:caps/>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AMENDED AND RESTATED COMMON STOCK PURCHASE WARRANT (the “</w:t>
      </w:r>
      <w:r>
        <w:rPr>
          <w:rFonts w:ascii="Times New Roman;Times;Serif" w:hAnsi="Times New Roman;Times;Serif"/>
          <w:sz w:val="20"/>
          <w:u w:val="single"/>
        </w:rPr>
        <w:t>Warrant</w:t>
      </w:r>
      <w:r>
        <w:rPr>
          <w:rFonts w:ascii="Times New Roman;Times;Serif" w:hAnsi="Times New Roman;Times;Serif"/>
          <w:sz w:val="20"/>
        </w:rPr>
        <w:t>”) amends, restates and is issued in exchange for that certain Common Stock Purchase Warrant originally issued by the Company to the Holder on August 21, 2026 (the “</w:t>
      </w:r>
      <w:r>
        <w:rPr>
          <w:rFonts w:ascii="Times New Roman;Times;Serif" w:hAnsi="Times New Roman;Times;Serif"/>
          <w:sz w:val="20"/>
          <w:u w:val="single"/>
        </w:rPr>
        <w:t>Original Issue Date</w:t>
      </w:r>
      <w:r>
        <w:rPr>
          <w:rFonts w:ascii="Times New Roman;Times;Serif" w:hAnsi="Times New Roman;Times;Serif"/>
          <w:sz w:val="20"/>
        </w:rPr>
        <w:t>” and such warrant, the “</w:t>
      </w:r>
      <w:r>
        <w:rPr>
          <w:rFonts w:ascii="Times New Roman;Times;Serif" w:hAnsi="Times New Roman;Times;Serif"/>
          <w:sz w:val="20"/>
          <w:u w:val="single"/>
        </w:rPr>
        <w:t>Original Warrant</w:t>
      </w:r>
      <w:r>
        <w:rPr>
          <w:rFonts w:ascii="Times New Roman;Times;Serif" w:hAnsi="Times New Roman;Times;Serif"/>
          <w:sz w:val="20"/>
        </w:rPr>
        <w:t>”), and certifies that, for value received, [__________]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the Original Issue Date (the “</w:t>
      </w:r>
      <w:r>
        <w:rPr>
          <w:rFonts w:ascii="Times New Roman;Times;Serif" w:hAnsi="Times New Roman;Times;Serif"/>
          <w:sz w:val="20"/>
          <w:u w:val="single"/>
        </w:rPr>
        <w:t>Initial Exercise Date</w:t>
      </w:r>
      <w:r>
        <w:rPr>
          <w:rFonts w:ascii="Times New Roman;Times;Serif" w:hAnsi="Times New Roman;Times;Serif"/>
          <w:sz w:val="20"/>
        </w:rPr>
        <w:t>”) and on or prior to 5:00 p.m. (New York City time) on August 21, 2031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Expion Energy, Inc., a Nevada corporation (the “</w:t>
      </w:r>
      <w:r>
        <w:rPr>
          <w:rFonts w:ascii="Times New Roman;Times;Serif" w:hAnsi="Times New Roman;Times;Serif"/>
          <w:sz w:val="20"/>
          <w:u w:val="single"/>
        </w:rPr>
        <w:t>Company</w:t>
      </w:r>
      <w:r>
        <w:rPr>
          <w:rFonts w:ascii="Times New Roman;Times;Serif" w:hAnsi="Times New Roman;Times;Serif"/>
          <w:sz w:val="20"/>
        </w:rPr>
        <w:t>”), up to [__________]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The purchase price of one share of Common Stock under this Warrant shall be equal to the Exercise Price, as defined in Section 2(b). This Warrant supersedes the Original Warrant in its entirety.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w:t>
        <w:tab/>
      </w:r>
      <w:r>
        <w:rPr>
          <w:rFonts w:ascii="Times New Roman;Times;Serif" w:hAnsi="Times New Roman;Times;Serif"/>
          <w:sz w:val="20"/>
          <w:u w:val="single"/>
        </w:rPr>
        <w:t>Definitions</w:t>
      </w:r>
      <w:r>
        <w:rPr>
          <w:rFonts w:ascii="Times New Roman;Times;Serif" w:hAnsi="Times New Roman;Times;Serif"/>
          <w:sz w:val="20"/>
        </w:rPr>
        <w:t>. Capitalized terms used and not otherwise defined herein shall have the meanings set forth in that certain Amended and Restated Securities Purchase Agreement (the “</w:t>
      </w:r>
      <w:r>
        <w:rPr>
          <w:rFonts w:ascii="Times New Roman;Times;Serif" w:hAnsi="Times New Roman;Times;Serif"/>
          <w:sz w:val="20"/>
          <w:u w:val="single"/>
        </w:rPr>
        <w:t>Purchase Agreement</w:t>
      </w:r>
      <w:r>
        <w:rPr>
          <w:rFonts w:ascii="Times New Roman;Times;Serif" w:hAnsi="Times New Roman;Times;Serif"/>
          <w:sz w:val="20"/>
        </w:rPr>
        <w:t>”), dated October 22, 2026, among the Company and the purchasers signatory thereto, which amends and restates that certain Securities Purchase Agreement, dated August 21, 2026, among the Company and the purchasers signatory thereto.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w:t>
        <w:tab/>
      </w:r>
      <w:r>
        <w:rPr>
          <w:rFonts w:ascii="Times New Roman;Times;Serif" w:hAnsi="Times New Roman;Times;Serif"/>
          <w:sz w:val="20"/>
          <w:u w:val="single"/>
        </w:rPr>
        <w:t>Exercise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Exercise of Warrant</w:t>
      </w:r>
      <w:r>
        <w:rPr>
          <w:rFonts w:ascii="Times New Roman;Times;Serif" w:hAnsi="Times New Roman;Times;Serif"/>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sz w:val="20"/>
          <w:u w:val="single"/>
        </w:rPr>
        <w:t>Notice of Exercise</w:t>
      </w:r>
      <w:r>
        <w:rPr>
          <w:rFonts w:ascii="Times New Roman;Times;Serif" w:hAnsi="Times New Roman;Times;Serif"/>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Exercise Price</w:t>
      </w:r>
      <w:r>
        <w:rPr>
          <w:rFonts w:ascii="Times New Roman;Times;Serif" w:hAnsi="Times New Roman;Times;Serif"/>
          <w:sz w:val="20"/>
        </w:rPr>
        <w:t>. The exercise price per share of Common Stock under this Warrant shall be $4.25, subject to adjustment hereunder (the “</w:t>
      </w:r>
      <w:r>
        <w:rPr>
          <w:rFonts w:ascii="Times New Roman;Times;Serif" w:hAnsi="Times New Roman;Times;Serif"/>
          <w:sz w:val="20"/>
          <w:u w:val="single"/>
        </w:rPr>
        <w:t>Exercise Price</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Cashless Exercise</w:t>
      </w:r>
      <w:r>
        <w:rPr>
          <w:rFonts w:ascii="Times New Roman;Times;Serif" w:hAnsi="Times New Roman;Times;Serif"/>
          <w:sz w:val="20"/>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ind w:left="1980" w:right="0" w:hanging="540"/>
        <w:jc w:val="both"/>
        <w:rPr>
          <w:rFonts w:ascii="Times New Roman;Times;Serif" w:hAnsi="Times New Roman;Times;Serif"/>
          <w:sz w:val="20"/>
        </w:rPr>
      </w:pPr>
      <w:r>
        <w:rPr>
          <w:rFonts w:ascii="Times New Roman;Times;Serif" w:hAnsi="Times New Roman;Times;Serif"/>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ind w:left="2160" w:right="0" w:hanging="720"/>
        <w:jc w:val="both"/>
        <w:rPr/>
      </w:pPr>
      <w:r>
        <w:rPr/>
        <w:t> </w:t>
      </w:r>
    </w:p>
    <w:p>
      <w:pPr>
        <w:pStyle w:val="TextBody"/>
        <w:bidi w:val="0"/>
        <w:ind w:left="2160" w:right="0" w:hanging="720"/>
        <w:jc w:val="both"/>
        <w:rPr>
          <w:rFonts w:ascii="Times New Roman;Times;Serif" w:hAnsi="Times New Roman;Times;Serif"/>
          <w:sz w:val="20"/>
        </w:rPr>
      </w:pPr>
      <w:r>
        <w:rPr>
          <w:rFonts w:ascii="Times New Roman;Times;Serif" w:hAnsi="Times New Roman;Times;Serif"/>
          <w:sz w:val="20"/>
        </w:rPr>
        <w:t>(B) = the Exercise Price of this Warrant, as adjusted hereunder; and</w:t>
      </w:r>
    </w:p>
    <w:p>
      <w:pPr>
        <w:pStyle w:val="TextBody"/>
        <w:bidi w:val="0"/>
        <w:ind w:left="2160" w:right="0" w:hanging="720"/>
        <w:jc w:val="both"/>
        <w:rPr/>
      </w:pPr>
      <w:r>
        <w:rPr/>
        <w:t> </w:t>
      </w:r>
    </w:p>
    <w:p>
      <w:pPr>
        <w:pStyle w:val="TextBody"/>
        <w:bidi w:val="0"/>
        <w:ind w:left="2070" w:right="0" w:hanging="630"/>
        <w:jc w:val="both"/>
        <w:rPr>
          <w:rFonts w:ascii="Times New Roman;Times;Serif" w:hAnsi="Times New Roman;Times;Serif"/>
          <w:sz w:val="20"/>
        </w:rPr>
      </w:pPr>
      <w:r>
        <w:rPr>
          <w:rFonts w:ascii="Times New Roman;Times;Serif" w:hAnsi="Times New Roman;Times;Serif"/>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ind w:left="2070" w:right="0" w:hanging="630"/>
        <w:jc w:val="both"/>
        <w:rPr/>
      </w:pPr>
      <w:r>
        <w:rPr/>
        <w:t> </w:t>
      </w:r>
    </w:p>
    <w:p>
      <w:pPr>
        <w:pStyle w:val="TextBody"/>
        <w:bidi w:val="0"/>
        <w:ind w:left="72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Bid Price</w:t>
      </w:r>
      <w:r>
        <w:rPr>
          <w:rFonts w:ascii="Times New Roman;Times;Serif" w:hAnsi="Times New Roman;Times;Serif"/>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OTCID Basic Market or the Pink Limited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Notwithstanding anything herein to the contrary, on the Termination Date, this Warrant shall be automatically exercised via cashless exercise pursuant to this Section 2(c), subject to the Beneficial Ownership Limitation and Section 2(e). To the extent such automatic exercise would otherwise result in the issuance of Excess Shares (as defined in Section 2(e)), such Excess Shares shall instead be held in abeyance for the benefit of the Holder until such time, if ever, as its right thereto would not result in the Holder exceeding the Beneficial Ownership Limitation.</w:t>
      </w:r>
    </w:p>
    <w:p>
      <w:pPr>
        <w:pStyle w:val="TextBody"/>
        <w:bidi w:val="0"/>
        <w:ind w:left="720" w:right="0" w:firstLine="720"/>
        <w:jc w:val="both"/>
        <w:rPr/>
      </w:pPr>
      <w:r>
        <w:rPr/>
        <w:t> </w:t>
      </w:r>
    </w:p>
    <w:tbl>
      <w:tblPr>
        <w:tblW w:w="2178" w:type="dxa"/>
        <w:jc w:val="left"/>
        <w:tblInd w:w="0" w:type="dxa"/>
        <w:tblLayout w:type="fixed"/>
        <w:tblCellMar>
          <w:top w:w="0" w:type="dxa"/>
          <w:left w:w="0" w:type="dxa"/>
          <w:bottom w:w="0" w:type="dxa"/>
          <w:right w:w="0" w:type="dxa"/>
        </w:tblCellMar>
      </w:tblPr>
      <w:tblGrid>
        <w:gridCol w:w="38"/>
        <w:gridCol w:w="18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 xml:space="preserve">. </w:t>
            </w:r>
          </w:p>
        </w:tc>
      </w:tr>
    </w:tbl>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sz w:val="20"/>
          <w:u w:val="single"/>
        </w:rPr>
        <w:t>Warrant Share Delivery Date</w:t>
      </w:r>
      <w:r>
        <w:rPr>
          <w:rFonts w:ascii="Times New Roman;Times;Serif" w:hAnsi="Times New Roman;Times;Serif"/>
          <w:sz w:val="20"/>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240"/>
        <w:ind w:left="2340" w:right="0" w:firstLine="63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Warrant Shares Upon Exercise</w:t>
      </w:r>
      <w:r>
        <w:rPr>
          <w:rFonts w:ascii="Times New Roman;Times;Serif" w:hAnsi="Times New Roman;Times;Serif"/>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0"/>
          <w:u w:val="single"/>
        </w:rPr>
        <w:t>Buy-In</w:t>
      </w:r>
      <w:r>
        <w:rPr>
          <w:rFonts w:ascii="Times New Roman;Times;Serif" w:hAnsi="Times New Roman;Times;Serif"/>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No Fractional Shares or Scrip</w:t>
      </w:r>
      <w:r>
        <w:rPr>
          <w:rFonts w:ascii="Times New Roman;Times;Serif" w:hAnsi="Times New Roman;Times;Serif"/>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ind w:left="2340" w:right="0" w:firstLine="720"/>
        <w:jc w:val="both"/>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set forth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representation to the Company that such Notice of Exercise does not violate the restrictions set forth in this paragraph, and the determination by the Holder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provided that for purposes of this Section 2(e), the Holder shall be entitled to rely on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9.99% of the number of shares of Common Stock outstanding immediately after giving effect to the issuance of shares of Common Stock issuable upon exercise of this Warrant. In the event that the issuance of shares of Common Stock to the Holder upon exercise of this Warrant results or would result in the Holder together with any Affiliates and Attribution Parties being deemed to beneficially own, in the aggregate, a number of outstanding shares of Common Stock in excess of the Beneficial Ownership Limitation (as determined under Section 13(d) of the Exchange Act), the number of shares so issued by which the Holder’s together with its Affiliates’ and Attribution Parties’ aggregate beneficial ownership of shares of Common Stock exceeds the Beneficial Ownership Limitation (the “</w:t>
      </w:r>
      <w:r>
        <w:rPr>
          <w:rFonts w:ascii="Times New Roman;Times;Serif" w:hAnsi="Times New Roman;Times;Serif"/>
          <w:sz w:val="20"/>
          <w:u w:val="single"/>
        </w:rPr>
        <w:t>Excess Shares</w:t>
      </w:r>
      <w:r>
        <w:rPr>
          <w:rFonts w:ascii="Times New Roman;Times;Serif" w:hAnsi="Times New Roman;Times;Serif"/>
          <w:sz w:val="20"/>
        </w:rPr>
        <w:t>”) shall be deemed null and void and shall be cancelled ab initio, and the Holder shall not have the power to vote or to transfer the Excess Shares.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position w:val="7"/>
          <w:sz w:val="16"/>
          <w:sz w:val="20"/>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Restrictions</w:t>
      </w:r>
      <w:r>
        <w:rPr>
          <w:rFonts w:ascii="Times New Roman;Times;Serif" w:hAnsi="Times New Roman;Times;Serif"/>
          <w:sz w:val="20"/>
        </w:rPr>
        <w:t>. Notwithstanding anything herein to the contrary, if the Company has not obtained Shareholder Approval, then the Company may not issue upon exercise of this Warrant, in whole or in part, a number of shares of Common Stock which, when aggregated with any shares of Common Stock issued (i) upon the conversion of, or in payment of interest on, any Debentures (including any Additional Debentures) issued pursuant to the Purchase Agreement and (ii) upon prior exercise of this or any other Warrant issued pursuant to the Purchase Agreement, would exceed the Issuable Maximum (as defined in the Purchase Agreement). The Holder relative to the holders of the other Warrants issued pursuant to the Purchase Agreement shall be entitled to its pro rata portion of the Issuable Maximum equal to the quotient obtained by dividing (x) the Holder’s original Subscription Amount by (y) the aggregate original Subscription Amount of all holders pursuant to the Purchase Agreement. In addition, the Holder may allocate its pro-rata portion of the Issuable Maximum among Warrants held by it in its sole discretion. Such pro rata portion shall be adjusted upward ratably in the event a Purchaser no longer holds any Warrants and the amount of shares issued to such Purchaser pursuant to its Warrants was less than such Purchaser’s pro-rata share of the Issuable Maximum. For avoidance of doubt, unless and until any required Shareholder Approval is obtained and effective, any warrants issued to any registered broker-dealer as a fee in connection with the Securities issued pursuant to the Purchase Agreement shall not be allocated any portion of the Issuable Maximum and shall be unexercisable unless and until such Shareholder Approval is obtained and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w:t>
        <w:tab/>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Splits</w:t>
      </w:r>
      <w:r>
        <w:rPr>
          <w:rFonts w:ascii="Times New Roman;Times;Serif" w:hAnsi="Times New Roman;Times;Serif"/>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Equity Sales</w:t>
      </w:r>
      <w:r>
        <w:rPr>
          <w:rFonts w:ascii="Times New Roman;Times;Serif" w:hAnsi="Times New Roman;Times;Serif"/>
          <w:sz w:val="20"/>
        </w:rPr>
        <w:t>. If the Company or any Subsidiary thereof, as applicable, at any time while this Warrant is outstanding,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(such lower price, the “</w:t>
      </w:r>
      <w:r>
        <w:rPr>
          <w:rFonts w:ascii="Times New Roman;Times;Serif" w:hAnsi="Times New Roman;Times;Serif"/>
          <w:sz w:val="20"/>
          <w:u w:val="single"/>
        </w:rPr>
        <w:t>Base Share Price</w:t>
      </w:r>
      <w:r>
        <w:rPr>
          <w:rFonts w:ascii="Times New Roman;Times;Serif" w:hAnsi="Times New Roman;Times;Serif"/>
          <w:sz w:val="20"/>
        </w:rPr>
        <w:t>” and such issuances collectively, a “</w:t>
      </w:r>
      <w:r>
        <w:rPr>
          <w:rFonts w:ascii="Times New Roman;Times;Serif" w:hAnsi="Times New Roman;Times;Serif"/>
          <w:sz w:val="20"/>
          <w:u w:val="single"/>
        </w:rPr>
        <w:t>Dilutive Issuance</w:t>
      </w:r>
      <w:r>
        <w:rPr>
          <w:rFonts w:ascii="Times New Roman;Times;Serif" w:hAnsi="Times New Roman;Times;Serif"/>
          <w:sz w:val="20"/>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to equal the Base Share Price, provided that the Base Share Price shall not be less than Floor Price. Notwithstanding the foregoing, no adjustments shall be made, paid or issued under this Section 3(b) in respect of an Exempt Issuance. The Company shall notify the Holder, in writing, no later than the Trading Day following the issuance or deemed issuance of any Common Stock or Common Stock Equivalents subject to this Section 3(b), indicating therein the applicable issuance price, or applicable reset price, exchange price, conversion price and other pricing terms (such notice, the “</w:t>
      </w:r>
      <w:r>
        <w:rPr>
          <w:rFonts w:ascii="Times New Roman;Times;Serif" w:hAnsi="Times New Roman;Times;Serif"/>
          <w:sz w:val="20"/>
          <w:u w:val="single"/>
        </w:rPr>
        <w:t>Dilutive Issuance Notice</w:t>
      </w:r>
      <w:r>
        <w:rPr>
          <w:rFonts w:ascii="Times New Roman;Times;Serif" w:hAnsi="Times New Roman;Times;Serif"/>
          <w:sz w:val="20"/>
        </w:rPr>
        <w:t xml:space="preserve">”). For purposes of clarification, whether or not the Company provides a Dilutive Issuance Notice pursuant to this Section 3(b), upon the occurrence of any Dilutive Issuance, the Holder is entitled to receive a number of Warrant Shares based upon the Base Share Price on or after the date of such Dilutive Issuance, regardless of whether the Holder accurately refers to the Base Share Price in the Notice of Exercise.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Purchase Right would result in the Holder exceeding the Beneficial Ownership Limitation or the Company’s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Distribution would result in the Holder exceeding the Beneficial Ownership Limitation or the Company’s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Company’s issuance of shares in excess of the Issuable Maximum, as applicable).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Fundamental Transaction</w:t>
      </w:r>
      <w:r>
        <w:rPr>
          <w:rFonts w:ascii="Times New Roman;Times;Serif" w:hAnsi="Times New Roman;Times;Serif"/>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sz w:val="20"/>
          <w:u w:val="single"/>
        </w:rPr>
        <w:t>Fundamental Transaction</w:t>
      </w:r>
      <w:r>
        <w:rPr>
          <w:rFonts w:ascii="Times New Roman;Times;Serif" w:hAnsi="Times New Roman;Times;Serif"/>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Notice to Holder</w:t>
      </w:r>
      <w:r>
        <w:rPr>
          <w:rFonts w:ascii="Times New Roman;Times;Serif" w:hAnsi="Times New Roman;Times;Serif"/>
          <w:sz w:val="20"/>
        </w:rPr>
        <w:t xml:space="preserve">.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Exercise Price</w:t>
      </w:r>
      <w:r>
        <w:rPr>
          <w:rFonts w:ascii="Times New Roman;Times;Serif" w:hAnsi="Times New Roman;Times;Serif"/>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Exercise by Holder</w:t>
      </w:r>
      <w:r>
        <w:rPr>
          <w:rFonts w:ascii="Times New Roman;Times;Serif" w:hAnsi="Times New Roman;Times;Serif"/>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Voluntary Adjustment By Company</w:t>
      </w:r>
      <w:r>
        <w:rPr>
          <w:rFonts w:ascii="Times New Roman;Times;Serif" w:hAnsi="Times New Roman;Times;Serif"/>
          <w:sz w:val="20"/>
        </w:rPr>
        <w:t>. Subject to the rules and regulations of the Trading Market, the Company may at any time during the term of this Warrant reduce the then-current Exercise Price to any amount and for any period of time deemed appropriate by unanimous consent of the independent directors serving on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w:t>
        <w:tab/>
      </w:r>
      <w:r>
        <w:rPr>
          <w:rFonts w:ascii="Times New Roman;Times;Serif" w:hAnsi="Times New Roman;Times;Serif"/>
          <w:sz w:val="20"/>
          <w:u w:val="single"/>
        </w:rPr>
        <w:t>Transfer of Warrant</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Transferability</w:t>
      </w:r>
      <w:r>
        <w:rPr>
          <w:rFonts w:ascii="Times New Roman;Times;Serif" w:hAnsi="Times New Roman;Times;Serif"/>
          <w:sz w:val="20"/>
        </w:rPr>
        <w:t xml:space="preserve">.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New Warrants</w:t>
      </w:r>
      <w:r>
        <w:rPr>
          <w:rFonts w:ascii="Times New Roman;Times;Serif" w:hAnsi="Times New Roman;Times;Serif"/>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Warrant Register</w:t>
      </w:r>
      <w:r>
        <w:rPr>
          <w:rFonts w:ascii="Times New Roman;Times;Serif" w:hAnsi="Times New Roman;Times;Serif"/>
          <w:sz w:val="20"/>
        </w:rPr>
        <w:t>. The Company shall register this Warrant, upon records to be maintained by the Company for that purpose (the “</w:t>
      </w:r>
      <w:r>
        <w:rPr>
          <w:rFonts w:ascii="Times New Roman;Times;Serif" w:hAnsi="Times New Roman;Times;Serif"/>
          <w:sz w:val="20"/>
          <w:u w:val="single"/>
        </w:rPr>
        <w:t>Warrant Register</w:t>
      </w:r>
      <w:r>
        <w:rPr>
          <w:rFonts w:ascii="Times New Roman;Times;Serif" w:hAnsi="Times New Roman;Times;Serif"/>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Representation by the Holder</w:t>
      </w:r>
      <w:r>
        <w:rPr>
          <w:rFonts w:ascii="Times New Roman;Times;Serif" w:hAnsi="Times New Roman;Times;Serif"/>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w:t>
        <w:tab/>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Rights as Stockholder Until Exercise; No Settlement in Cash</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Authorized Shares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Reservation of Authorized and Unissued Shares</w:t>
            </w:r>
            <w:r>
              <w:rPr>
                <w:rFonts w:ascii="Times New Roman;Times;Serif" w:hAnsi="Times New Roman;Times;Serif"/>
                <w:sz w:val="20"/>
              </w:rPr>
              <w:t>. The Company covenants that, during the period the Warrant is outstanding, it will reserve from its authorized and unissued Common Stock the Issuable Maximum and, from and after the date on which the Company has sufficient authorized and unissued shares of Common Stock available therefor, including following receipt of the Shareholder Approval and effectiveness of any related amendment to the Company’s articles of incorporation, a sufficient number of shares to provide for the issuance of the Warrant Shares upon exercise of the purchase rights under this Warrant. If at any time while this Warrant remains outstanding the Company does not have a sufficient number of authorized and unissued shares of Common Stock available to reserve for issuance upon exercise of this Warrant, the Company shall use commercially reasonable efforts to obtain the Shareholder Approval and take such other corporate action as may be necessary to increase its authorized shares of Common Stock or otherwise make a sufficient number of shares available for issuance upon exercise of this Warrant, in each case subject to the terms and conditions set forth in Section 4.11 of the Purchase Agreement. The Company further covenants that following the availability of a sufficient number of authorized and unissued shares of Common Stock, its issuance of this Warrant shall constitute full authority to its officers who are charged with the duty of issuing the applicable Warrant Shares upon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when issued in accordance with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Non-Circumvention</w:t>
            </w:r>
            <w:r>
              <w:rPr>
                <w:rFonts w:ascii="Times New Roman;Times;Serif" w:hAnsi="Times New Roman;Times;Serif"/>
                <w:sz w:val="20"/>
              </w:rPr>
              <w:t>. Except and to the extent as waived or consented to by Holders of a majority in interest of the Warrants then outstanding,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Authorization, Exemptions, and Consents</w:t>
            </w:r>
            <w:r>
              <w:rPr>
                <w:rFonts w:ascii="Times New Roman;Times;Serif" w:hAnsi="Times New Roman;Times;Serif"/>
                <w:sz w:val="20"/>
              </w:rPr>
              <w: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Jurisdiction</w:t>
      </w:r>
      <w:r>
        <w:rPr>
          <w:rFonts w:ascii="Times New Roman;Times;Serif" w:hAnsi="Times New Roman;Times;Serif"/>
          <w:sz w:val="20"/>
        </w:rPr>
        <w:t>. All questions concerning the construction, validity, enforcement and interpretation of this Warrant shall be determined in accordance with the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Notices</w:t>
      </w:r>
      <w:r>
        <w:rPr>
          <w:rFonts w:ascii="Times New Roman;Times;Serif" w:hAnsi="Times New Roman;Times;Serif"/>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Remedies</w:t>
      </w:r>
      <w:r>
        <w:rPr>
          <w:rFonts w:ascii="Times New Roman;Times;Serif" w:hAnsi="Times New Roman;Times;Serif"/>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Amendment</w:t>
      </w:r>
      <w:r>
        <w:rPr>
          <w:rFonts w:ascii="Times New Roman;Times;Serif" w:hAnsi="Times New Roman;Times;Serif"/>
          <w:sz w:val="20"/>
        </w:rPr>
        <w:t>. Other than Section 2(e) above and this Section 5(l), which may not be amended, modified or waived, this Warrant may be modified or amended or the provisions hereof waived with the written consent of the Company and the Holder.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both"/>
        <w:rPr/>
      </w:pPr>
      <w:r>
        <w:rPr/>
        <w: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Amended and Restated Warrant to be executed by its officer thereunto duly authorized as of [_____], 2026.</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left"/>
              <w:rPr/>
            </w:pPr>
            <w:r>
              <w:rPr/>
              <w:t> </w:t>
            </w:r>
          </w:p>
          <w:p>
            <w:pPr>
              <w:pStyle w:val="TableContents"/>
              <w:bidi w:val="0"/>
              <w:spacing w:before="0" w:after="283"/>
              <w:jc w:val="left"/>
              <w:rPr/>
            </w:pPr>
            <w:r>
              <w:rPr/>
              <w:t> </w:t>
            </w:r>
          </w:p>
        </w:tc>
      </w:tr>
      <w:tr>
        <w:trPr/>
        <w:tc>
          <w:tcPr>
            <w:tcW w:w="47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360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ind w:left="0" w:right="0" w:firstLine="720"/>
        <w:jc w:val="both"/>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jc w:val="both"/>
        <w:rPr/>
      </w:pPr>
      <w:r>
        <w:rPr/>
        <w:t> </w:t>
      </w:r>
    </w:p>
    <w:p>
      <w:pPr>
        <w:pStyle w:val="TextBody"/>
        <w:bidi w:val="0"/>
        <w:jc w:val="both"/>
        <w:rPr>
          <w:rFonts w:ascii="Times New Roman;Times;Serif" w:hAnsi="Times New Roman;Times;Serif"/>
          <w:caps/>
          <w:sz w:val="20"/>
        </w:rPr>
      </w:pPr>
      <w:r>
        <w:rPr>
          <w:rFonts w:ascii="Times New Roman;Times;Serif" w:hAnsi="Times New Roman;Times;Serif"/>
          <w:caps/>
          <w:sz w:val="20"/>
        </w:rPr>
        <w:t>[***]</w:t>
      </w:r>
    </w:p>
    <w:p>
      <w:pPr>
        <w:pStyle w:val="TextBody"/>
        <w:bidi w:val="0"/>
        <w:jc w:val="both"/>
        <w:rPr/>
      </w:pPr>
      <w:r>
        <w:rPr/>
        <w:t> </w:t>
      </w:r>
    </w:p>
    <w:p>
      <w:pPr>
        <w:pStyle w:val="TextBody"/>
        <w:bidi w:val="0"/>
        <w:spacing w:before="0" w:after="240"/>
        <w:ind w:left="0" w:right="0" w:hanging="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sz w:val="20"/>
        </w:rPr>
      </w:pPr>
      <w:r>
        <w:rPr>
          <w:rFonts w:ascii="Times New Roman;Times;Serif" w:hAnsi="Times New Roman;Times;Serif"/>
          <w:sz w:val="20"/>
        </w:rPr>
        <w:tab/>
        <w:br/>
      </w:r>
      <w:r>
        <w:rPr>
          <w:rFonts w:ascii="Times New Roman;Times;Serif" w:hAnsi="Times New Roman;Times;Serif"/>
          <w:b/>
          <w:sz w:val="20"/>
        </w:rPr>
        <w:t>EXHIBIT B</w:t>
      </w:r>
    </w:p>
    <w:p>
      <w:pPr>
        <w:pStyle w:val="TextBody"/>
        <w:bidi w:val="0"/>
        <w:jc w:val="both"/>
        <w:rPr/>
      </w:pPr>
      <w:r>
        <w:rPr/>
        <w:t> </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ASSIGNMENT FORM</w:t>
      </w:r>
    </w:p>
    <w:p>
      <w:pPr>
        <w:pStyle w:val="TextBody"/>
        <w:bidi w:val="0"/>
        <w:spacing w:before="0" w:after="240"/>
        <w:jc w:val="left"/>
        <w:rPr>
          <w:rFonts w:ascii="Times New Roman;Times;Serif" w:hAnsi="Times New Roman;Times;Serif"/>
          <w:b w:val="false"/>
          <w:sz w:val="20"/>
        </w:rPr>
      </w:pPr>
      <w:r>
        <w:rPr>
          <w:rFonts w:ascii="Times New Roman;Times;Serif" w:hAnsi="Times New Roman;Times;Serif"/>
          <w:b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24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8" w:name="ex10_1.htm"/>
      <w:bookmarkStart w:id="29" w:name="ksex10_1"/>
      <w:bookmarkEnd w:id="28"/>
      <w:bookmarkEnd w:id="29"/>
      <w:r>
        <w:rPr>
          <w:rFonts w:ascii="Times New Roman;Times;Serif" w:hAnsi="Times New Roman;Times;Serif"/>
          <w:b/>
          <w:sz w:val="20"/>
        </w:rPr>
        <w:t>Exhibit 10.1 </w:t>
      </w:r>
      <w:r>
        <w:br w:type="page"/>
      </w:r>
    </w:p>
    <w:p>
      <w:pPr>
        <w:pStyle w:val="TextBody"/>
        <w:bidi w:val="0"/>
        <w:jc w:val="righ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 AMENDED AND RESTATED SECURITIES PURCHASE AGREEMENT</w:t>
      </w:r>
    </w:p>
    <w:p>
      <w:pPr>
        <w:pStyle w:val="TextBody"/>
        <w:bidi w:val="0"/>
        <w:jc w:val="center"/>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Amended and Restated Securities Purchase Agreement (this “</w:t>
      </w:r>
      <w:r>
        <w:rPr>
          <w:rFonts w:ascii="Times New Roman;Times;Serif" w:hAnsi="Times New Roman;Times;Serif"/>
          <w:sz w:val="20"/>
          <w:u w:val="single"/>
        </w:rPr>
        <w:t>Agreement</w:t>
      </w:r>
      <w:r>
        <w:rPr>
          <w:rFonts w:ascii="Times New Roman;Times;Serif" w:hAnsi="Times New Roman;Times;Serif"/>
          <w:sz w:val="20"/>
        </w:rPr>
        <w:t>”) is dated as of [__________] and amends and restates that certain Securities Purchase Agreement dated August 21, 2026 (the “</w:t>
      </w:r>
      <w:r>
        <w:rPr>
          <w:rFonts w:ascii="Times New Roman;Times;Serif" w:hAnsi="Times New Roman;Times;Serif"/>
          <w:sz w:val="20"/>
          <w:u w:val="single"/>
        </w:rPr>
        <w:t>Original SPA</w:t>
      </w:r>
      <w:r>
        <w:rPr>
          <w:rFonts w:ascii="Times New Roman;Times;Serif" w:hAnsi="Times New Roman;Times;Serif"/>
          <w:sz w:val="20"/>
        </w:rPr>
        <w:t>”),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purchaser identified on the signature pages hereto (each, including its successors and assigns,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subject to the terms and conditions set forth in this Agreement and pursuant to Section 4(a)(2) of the Securities Act (as defined below), and Rule 506 promulgated thereunder, the Company desires to amend and restate the Debentures and Warrants issued to each Purchaser pursuant to the Original SPA, and each Purchaser, severally and not jointly, desires to accept such amended and restated Debentures and Warrants in exchange for the Debentures and Warrants purchased pursuant to the Original SPA, and the parties desire to modify certain terms of the Original SPA as more fully described in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WHEREAS, the Company and each Purchaser agree that the Debentures, Registration Rights Agreement and Warrants are hereby amended and restated as set forth in </w:t>
      </w:r>
      <w:r>
        <w:rPr>
          <w:rFonts w:ascii="Times New Roman;Times;Serif" w:hAnsi="Times New Roman;Times;Serif"/>
          <w:sz w:val="20"/>
          <w:u w:val="single"/>
        </w:rPr>
        <w:t>Exhibits A, B and C</w:t>
      </w:r>
      <w:r>
        <w:rPr>
          <w:rFonts w:ascii="Times New Roman;Times;Serif" w:hAnsi="Times New Roman;Times;Serif"/>
          <w:sz w:val="20"/>
        </w:rPr>
        <w:t>,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Definitions</w:t>
      </w:r>
      <w:r>
        <w:rPr>
          <w:rFonts w:ascii="Times New Roman;Times;Serif" w:hAnsi="Times New Roman;Times;Serif"/>
          <w:sz w:val="20"/>
        </w:rPr>
        <w:t>. In addition to the terms defined elsewhere in this Agreement the following terms have the meanings set forth in this Section 1.1:</w:t>
      </w:r>
    </w:p>
    <w:p>
      <w:pPr>
        <w:pStyle w:val="TextBody"/>
        <w:bidi w:val="0"/>
        <w:spacing w:before="0" w:after="240"/>
        <w:ind w:left="720" w:right="0" w:firstLine="720"/>
        <w:jc w:val="both"/>
        <w:rPr/>
      </w:pPr>
      <w:r>
        <w:rPr/>
        <w:t>“</w:t>
      </w:r>
      <w:r>
        <w:rPr>
          <w:rFonts w:ascii="Times New Roman;Times;Serif" w:hAnsi="Times New Roman;Times;Serif"/>
          <w:sz w:val="20"/>
          <w:u w:val="single"/>
        </w:rPr>
        <w:t>Acquiring Person</w:t>
      </w:r>
      <w:r>
        <w:rPr>
          <w:rFonts w:ascii="Times New Roman;Times;Serif" w:hAnsi="Times New Roman;Times;Serif"/>
          <w:sz w:val="20"/>
        </w:rPr>
        <w:t>” shall have the meaning ascribed to such term in Section 4.7.</w:t>
      </w:r>
    </w:p>
    <w:p>
      <w:pPr>
        <w:pStyle w:val="TextBody"/>
        <w:bidi w:val="0"/>
        <w:spacing w:before="0" w:after="240"/>
        <w:ind w:left="720" w:right="0" w:firstLine="720"/>
        <w:jc w:val="both"/>
        <w:rPr/>
      </w:pPr>
      <w:r>
        <w:rPr/>
        <w:t>“</w:t>
      </w:r>
      <w:r>
        <w:rPr>
          <w:rFonts w:ascii="Times New Roman;Times;Serif" w:hAnsi="Times New Roman;Times;Serif"/>
          <w:sz w:val="20"/>
          <w:u w:val="single"/>
        </w:rPr>
        <w:t>Action</w:t>
      </w:r>
      <w:r>
        <w:rPr>
          <w:rFonts w:ascii="Times New Roman;Times;Serif" w:hAnsi="Times New Roman;Times;Serif"/>
          <w:sz w:val="20"/>
        </w:rPr>
        <w:t>” shall have the meaning ascribed to such term in Section 3.1(j).</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w:t>
      </w:r>
      <w:r>
        <w:rPr>
          <w:rFonts w:ascii="Times New Roman;Times;Serif" w:hAnsi="Times New Roman;Times;Serif"/>
          <w:sz w:val="20"/>
        </w:rPr>
        <w:t>” means each closing of the purchase and sale of Additional Debentures pursuant to an exercise of the Additional Investment Right under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Closing Date</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Investment Right</w:t>
      </w:r>
      <w:r>
        <w:rPr>
          <w:rFonts w:ascii="Times New Roman;Times;Serif" w:hAnsi="Times New Roman;Times;Serif"/>
          <w:sz w:val="20"/>
        </w:rPr>
        <w:t>” shall have the meaning ascribed to such term in Section 4.17.</w:t>
      </w:r>
    </w:p>
    <w:p>
      <w:pPr>
        <w:pStyle w:val="TextBody"/>
        <w:bidi w:val="0"/>
        <w:spacing w:before="0" w:after="240"/>
        <w:ind w:left="720" w:right="0" w:firstLine="720"/>
        <w:jc w:val="both"/>
        <w:rPr/>
      </w:pPr>
      <w:r>
        <w:rPr/>
        <w:t>“</w:t>
      </w:r>
      <w:r>
        <w:rPr>
          <w:rFonts w:ascii="Times New Roman;Times;Serif" w:hAnsi="Times New Roman;Times;Serif"/>
          <w:sz w:val="20"/>
          <w:u w:val="single"/>
        </w:rPr>
        <w:t>Additional Debentures</w:t>
      </w:r>
      <w:r>
        <w:rPr>
          <w:rFonts w:ascii="Times New Roman;Times;Serif" w:hAnsi="Times New Roman;Times;Serif"/>
          <w:sz w:val="20"/>
        </w:rPr>
        <w:t xml:space="preserve">” shall have the meaning ascribed to such term in Section 4.17, and shall be substantially in the form of </w:t>
      </w:r>
      <w:r>
        <w:rPr>
          <w:rFonts w:ascii="Times New Roman;Times;Serif" w:hAnsi="Times New Roman;Times;Serif"/>
          <w:sz w:val="20"/>
          <w:u w:val="single"/>
        </w:rPr>
        <w:t>Exhibit A</w:t>
      </w:r>
      <w:r>
        <w:rPr>
          <w:rFonts w:ascii="Times New Roman;Times;Serif" w:hAnsi="Times New Roman;Times;Serif"/>
          <w:sz w:val="20"/>
        </w:rPr>
        <w:t xml:space="preserve"> hereto.</w:t>
      </w:r>
    </w:p>
    <w:p>
      <w:pPr>
        <w:pStyle w:val="TextBody"/>
        <w:bidi w:val="0"/>
        <w:spacing w:before="0" w:after="240"/>
        <w:ind w:left="72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240"/>
        <w:ind w:left="720" w:right="0" w:firstLine="720"/>
        <w:jc w:val="both"/>
        <w:rPr/>
      </w:pPr>
      <w:r>
        <w:rPr/>
        <w:t>“</w:t>
      </w:r>
      <w:r>
        <w:rPr>
          <w:rFonts w:ascii="Times New Roman;Times;Serif" w:hAnsi="Times New Roman;Times;Serif"/>
          <w:sz w:val="20"/>
          <w:u w:val="single"/>
        </w:rPr>
        <w:t>Board of Directors</w:t>
      </w:r>
      <w:r>
        <w:rPr>
          <w:rFonts w:ascii="Times New Roman;Times;Serif" w:hAnsi="Times New Roman;Times;Serif"/>
          <w:sz w:val="20"/>
        </w:rPr>
        <w:t>” means the board of directors of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xml:space="preserve">” means any day other than Saturday, Sunday or other day on which commercial banks in The City of New York are authorized or required by law to remain closed;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240"/>
        <w:ind w:left="720" w:right="0" w:firstLine="720"/>
        <w:jc w:val="both"/>
        <w:rPr/>
      </w:pPr>
      <w:r>
        <w:rPr/>
        <w:t>“</w:t>
      </w:r>
      <w:r>
        <w:rPr>
          <w:rFonts w:ascii="Times New Roman;Times;Serif" w:hAnsi="Times New Roman;Times;Serif"/>
          <w:sz w:val="20"/>
          <w:u w:val="single"/>
        </w:rPr>
        <w:t>Closing</w:t>
      </w:r>
      <w:r>
        <w:rPr>
          <w:rFonts w:ascii="Times New Roman;Times;Serif" w:hAnsi="Times New Roman;Times;Serif"/>
          <w:sz w:val="20"/>
        </w:rPr>
        <w:t>” means the First Closing and each Additional Closing, as applicable.</w:t>
      </w:r>
    </w:p>
    <w:p>
      <w:pPr>
        <w:pStyle w:val="TextBody"/>
        <w:bidi w:val="0"/>
        <w:spacing w:before="0" w:after="240"/>
        <w:ind w:left="720" w:right="0" w:firstLine="720"/>
        <w:jc w:val="both"/>
        <w:rPr/>
      </w:pPr>
      <w:r>
        <w:rPr/>
        <w:t>“</w:t>
      </w:r>
      <w:r>
        <w:rPr>
          <w:rFonts w:ascii="Times New Roman;Times;Serif" w:hAnsi="Times New Roman;Times;Serif"/>
          <w:sz w:val="20"/>
          <w:u w:val="single"/>
        </w:rPr>
        <w:t>Closing Date</w:t>
      </w:r>
      <w:r>
        <w:rPr>
          <w:rFonts w:ascii="Times New Roman;Times;Serif" w:hAnsi="Times New Roman;Times;Serif"/>
          <w:sz w:val="20"/>
        </w:rPr>
        <w:t>” means the First Closing Date or the applicable Additional Closing Date, as the context requires.</w:t>
      </w:r>
    </w:p>
    <w:p>
      <w:pPr>
        <w:pStyle w:val="TextBody"/>
        <w:bidi w:val="0"/>
        <w:spacing w:before="0" w:after="240"/>
        <w:ind w:left="72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before="0" w:after="240"/>
        <w:ind w:left="72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common stock of the Company, par value $0.001 per share, and any other class of securities into which such securities may hereafter be reclassified or changed.</w:t>
      </w:r>
    </w:p>
    <w:p>
      <w:pPr>
        <w:pStyle w:val="TextBody"/>
        <w:bidi w:val="0"/>
        <w:spacing w:before="0" w:after="240"/>
        <w:ind w:left="72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ind w:left="720" w:right="0" w:firstLine="720"/>
        <w:jc w:val="both"/>
        <w:rPr/>
      </w:pPr>
      <w:r>
        <w:rPr/>
        <w:t>“</w:t>
      </w:r>
      <w:r>
        <w:rPr>
          <w:rFonts w:ascii="Times New Roman;Times;Serif" w:hAnsi="Times New Roman;Times;Serif"/>
          <w:sz w:val="20"/>
          <w:u w:val="single"/>
        </w:rPr>
        <w:t>Company Counsel</w:t>
      </w:r>
      <w:r>
        <w:rPr>
          <w:rFonts w:ascii="Times New Roman;Times;Serif" w:hAnsi="Times New Roman;Times;Serif"/>
          <w:sz w:val="20"/>
        </w:rPr>
        <w:t>” means Stradling Yocca Carlson &amp; Rauth LLP.</w:t>
      </w:r>
    </w:p>
    <w:p>
      <w:pPr>
        <w:pStyle w:val="TextBody"/>
        <w:bidi w:val="0"/>
        <w:spacing w:before="0" w:after="240"/>
        <w:ind w:left="720" w:right="0" w:firstLine="720"/>
        <w:jc w:val="both"/>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ascribed to such term in Section 4(b) of the Debentures.</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means the shares of Common Stock issuable upon conversion of the Debentures and the Additional Debentures, subject to the Issuable Maximum unless and until the Shareholder Approval has been obtained.</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Debentures</w:t>
      </w:r>
      <w:r>
        <w:rPr>
          <w:rFonts w:ascii="Times New Roman;Times;Serif" w:hAnsi="Times New Roman;Times;Serif"/>
          <w:sz w:val="20"/>
        </w:rPr>
        <w:t xml:space="preserve">” means the 8% Convertible Debentures due August 21, 2029, issued at the First Closing Date in the aggregate original principal amount of $9,000,000, as amended and restated as of the date hereof in the form of </w:t>
      </w:r>
      <w:r>
        <w:rPr>
          <w:rFonts w:ascii="Times New Roman;Times;Serif" w:hAnsi="Times New Roman;Times;Serif"/>
          <w:sz w:val="20"/>
          <w:u w:val="single"/>
        </w:rPr>
        <w:t>Exhibit A</w:t>
      </w:r>
      <w:r>
        <w:rPr>
          <w:rFonts w:ascii="Times New Roman;Times;Serif" w:hAnsi="Times New Roman;Times;Serif"/>
          <w:sz w:val="20"/>
        </w:rPr>
        <w:t xml:space="preserve"> hereto.</w:t>
      </w:r>
    </w:p>
    <w:p>
      <w:pPr>
        <w:pStyle w:val="TextBody"/>
        <w:bidi w:val="0"/>
        <w:spacing w:before="0" w:after="240"/>
        <w:ind w:left="720" w:right="0" w:firstLine="720"/>
        <w:jc w:val="both"/>
        <w:rPr/>
      </w:pPr>
      <w:r>
        <w:rPr/>
        <w:t>“</w:t>
      </w:r>
      <w:r>
        <w:rPr>
          <w:rFonts w:ascii="Times New Roman;Times;Serif" w:hAnsi="Times New Roman;Times;Serif"/>
          <w:sz w:val="20"/>
          <w:u w:val="single"/>
        </w:rPr>
        <w:t>Disclosure Schedules</w:t>
      </w:r>
      <w:r>
        <w:rPr>
          <w:rFonts w:ascii="Times New Roman;Times;Serif" w:hAnsi="Times New Roman;Times;Serif"/>
          <w:sz w:val="20"/>
        </w:rPr>
        <w:t>” means the disclosure schedules of the Company delivered pursuant to the Original SPA, as supplemented by any disclosure schedules delivered by the Company concurrently herewith or at any Additional Closing.</w:t>
      </w:r>
    </w:p>
    <w:p>
      <w:pPr>
        <w:pStyle w:val="TextBody"/>
        <w:bidi w:val="0"/>
        <w:spacing w:before="0" w:after="240"/>
        <w:ind w:left="720" w:right="0" w:firstLine="720"/>
        <w:jc w:val="both"/>
        <w:rPr/>
      </w:pPr>
      <w:r>
        <w:rPr/>
        <w:t>“</w:t>
      </w:r>
      <w:r>
        <w:rPr>
          <w:rFonts w:ascii="Times New Roman;Times;Serif" w:hAnsi="Times New Roman;Times;Serif"/>
          <w:sz w:val="20"/>
          <w:u w:val="single"/>
        </w:rPr>
        <w:t>Disclosure Time</w:t>
      </w:r>
      <w:r>
        <w:rPr>
          <w:rFonts w:ascii="Times New Roman;Times;Serif" w:hAnsi="Times New Roman;Times;Serif"/>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240"/>
        <w:ind w:left="720" w:right="0" w:firstLine="720"/>
        <w:jc w:val="both"/>
        <w:rPr/>
      </w:pPr>
      <w:r>
        <w:rPr/>
        <w:t>“</w:t>
      </w:r>
      <w:r>
        <w:rPr>
          <w:rFonts w:ascii="Times New Roman;Times;Serif" w:hAnsi="Times New Roman;Times;Serif"/>
          <w:sz w:val="20"/>
          <w:u w:val="single"/>
        </w:rPr>
        <w:t>Effective Date</w:t>
      </w:r>
      <w:r>
        <w:rPr>
          <w:rFonts w:ascii="Times New Roman;Times;Serif" w:hAnsi="Times New Roman;Times;Serif"/>
          <w:sz w:val="20"/>
        </w:rPr>
        <w:t>” means the earliest of the date that (a) the Registration Statement has been declared effective by the Commission, (b) all of the Underlying Shares and the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applicable Closing Date provided that a holder of the Underlying Shares and/or the Warrant Shares, as applicable, is not an Affiliate of the Company, or (d) all of the Underlying Shares or the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Underlying Shares or the Warrant Shares pursuant to such exemption which opinion shall be in form and substance reasonably acceptable to such 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Evaluation Date</w:t>
      </w:r>
      <w:r>
        <w:rPr>
          <w:rFonts w:ascii="Times New Roman;Times;Serif" w:hAnsi="Times New Roman;Times;Serif"/>
          <w:sz w:val="20"/>
        </w:rPr>
        <w:t>” shall have the meaning ascribed to such term in Section 3.1(s).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Exempt Issuance</w:t>
      </w:r>
      <w:r>
        <w:rPr>
          <w:rFonts w:ascii="Times New Roman;Times;Serif" w:hAnsi="Times New Roman;Times;Serif"/>
          <w:sz w:val="20"/>
        </w:rPr>
        <w:t>” means the issuance of (a) shares of Common Stock or options restricted stock units, restricted stock, stock appreciation rights or other equity or equity-based awards to employees, officers, consultants, advisors, or directors of the Company pursuant to any stock, stock option, equity incentive, employee stock purchase, inducement, employment, consulting, director compensation or other similar plan, agreement or arrangement duly adopted for such purpose, by a majority of the non-employee members of the Board of Directors or a majority of the members of a committee of non-employee directors established for such purpose or otherwise approved in accordance with applicable Trading Market rules, (b)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mergers, acquisitions, business combinations, joint ventures, license arrangements, strategic alliances, or other strategic transactions approved by a majority of the disinterested directors of the Company, provided that such securities are issued as “restricted securities” (as defined in Rule 144) without registration rights,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securities issued pursuant to one or more “at the market” offerings (as defined in Rule 415(a)(4) under the Securities Act) that are made during 2026 in an aggregate amount not to exceed such aggregate amount as the Company is permitted to issue under General Instruction I.B.6. of Form S-3 (and the related rules, regulations and publicly-available written or oral guidance of the Commission staff), (e) securities issued in connection with any credit facility, equipment lease or financing, commercial bank loan or other similar financing transaction, in each case approved by a majority of the disinterested directors of the Company, and (f) the Debentures (other than the Additional Debentures) and the Warrants.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FCPA</w:t>
      </w:r>
      <w:r>
        <w:rPr>
          <w:rFonts w:ascii="Times New Roman;Times;Serif" w:hAnsi="Times New Roman;Times;Serif"/>
          <w:sz w:val="20"/>
        </w:rPr>
        <w:t>” means the Foreign Corrupt Practices Act of 1977, as amended.</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First Closing</w:t>
      </w:r>
      <w:r>
        <w:rPr>
          <w:rFonts w:ascii="Times New Roman;Times;Serif" w:hAnsi="Times New Roman;Times;Serif"/>
          <w:sz w:val="20"/>
        </w:rPr>
        <w:t>” means the closing of the purchase and sale of the Debentures and Warrants on the First Closing Date.</w:t>
      </w:r>
    </w:p>
    <w:p>
      <w:pPr>
        <w:pStyle w:val="TextBody"/>
        <w:bidi w:val="0"/>
        <w:spacing w:before="0" w:after="240"/>
        <w:ind w:left="720" w:right="0" w:firstLine="720"/>
        <w:jc w:val="both"/>
        <w:rPr/>
      </w:pPr>
      <w:r>
        <w:rPr/>
        <w:t>“</w:t>
      </w:r>
      <w:r>
        <w:rPr>
          <w:rFonts w:ascii="Times New Roman;Times;Serif" w:hAnsi="Times New Roman;Times;Serif"/>
          <w:sz w:val="20"/>
          <w:u w:val="single"/>
        </w:rPr>
        <w:t>First Closing Date</w:t>
      </w:r>
      <w:r>
        <w:rPr>
          <w:rFonts w:ascii="Times New Roman;Times;Serif" w:hAnsi="Times New Roman;Times;Serif"/>
          <w:sz w:val="20"/>
        </w:rPr>
        <w:t>” means the Trading Day on which all of the Transaction Documents relating to the initial purchase and sale of the Debentures and Warrants have been executed and delivered by the applicable parties thereto, and all conditions precedent to (i) the Purchasers’ obligations to pay the initial Subscription Amount and (ii) the Company’s obligations to deliver the Debentures and Warrants, in each case, have been satisfied or waived.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Floor Price</w:t>
      </w:r>
      <w:r>
        <w:rPr>
          <w:rFonts w:ascii="Times New Roman;Times;Serif" w:hAnsi="Times New Roman;Times;Serif"/>
          <w:sz w:val="20"/>
        </w:rPr>
        <w:t>” means $0.72 (subject to adjustment for reverse and forward stock splits, recapitalizations, and similar transactions following the date of the Original SPA).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Indebtedness</w:t>
      </w:r>
      <w:r>
        <w:rPr>
          <w:rFonts w:ascii="Times New Roman;Times;Serif" w:hAnsi="Times New Roman;Times;Serif"/>
          <w:sz w:val="20"/>
        </w:rPr>
        <w:t>” shall have the meaning ascribed to such term in Section 3.1(ab).</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Intellectual Property Rights</w:t>
      </w:r>
      <w:r>
        <w:rPr>
          <w:rFonts w:ascii="Times New Roman;Times;Serif" w:hAnsi="Times New Roman;Times;Serif"/>
          <w:sz w:val="20"/>
        </w:rPr>
        <w:t>” shall have the meaning ascribed to such term in Section 3.1(p).</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Interest Conversion Shares</w:t>
      </w:r>
      <w:r>
        <w:rPr>
          <w:rFonts w:ascii="Times New Roman;Times;Serif" w:hAnsi="Times New Roman;Times;Serif"/>
          <w:sz w:val="20"/>
        </w:rPr>
        <w:t>” shall have the meaning ascribed to such term in Section 2(a) of the Debentures.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Issuable Maximum</w:t>
      </w:r>
      <w:r>
        <w:rPr>
          <w:rFonts w:ascii="Times New Roman;Times;Serif" w:hAnsi="Times New Roman;Times;Serif"/>
          <w:sz w:val="20"/>
        </w:rPr>
        <w:t>” means the lower of (i) the maximum number of authorized and unissued shares of Common Stock which may be issued pursuant to the Company’s articles of incorporation, and (ii) 19.99% of the number of shares of Common Stock outstanding on the Trading Day immediately preceding the First Closing Date.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Legend Removal Date</w:t>
      </w:r>
      <w:r>
        <w:rPr>
          <w:rFonts w:ascii="Times New Roman;Times;Serif" w:hAnsi="Times New Roman;Times;Serif"/>
          <w:sz w:val="20"/>
        </w:rPr>
        <w:t>” shall have the meaning ascribed to such term in Section 4.1(c).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Liens</w:t>
      </w:r>
      <w:r>
        <w:rPr>
          <w:rFonts w:ascii="Times New Roman;Times;Serif" w:hAnsi="Times New Roman;Times;Serif"/>
          <w:sz w:val="20"/>
        </w:rPr>
        <w:t>” means a lien, charge, security interest, encumbrance, right of first refusal, preemptive right or other restriction.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Adverse Effect</w:t>
      </w:r>
      <w:r>
        <w:rPr>
          <w:rFonts w:ascii="Times New Roman;Times;Serif" w:hAnsi="Times New Roman;Times;Serif"/>
          <w:sz w:val="20"/>
        </w:rPr>
        <w:t>” shall have the meaning assigned to such term in Section 3.1(b).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Material Permits</w:t>
      </w:r>
      <w:r>
        <w:rPr>
          <w:rFonts w:ascii="Times New Roman;Times;Serif" w:hAnsi="Times New Roman;Times;Serif"/>
          <w:sz w:val="20"/>
        </w:rPr>
        <w:t>” shall have the meaning ascribed to such term in Section 3.1(n).</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Maximum Rate</w:t>
      </w:r>
      <w:r>
        <w:rPr>
          <w:rFonts w:ascii="Times New Roman;Times;Serif" w:hAnsi="Times New Roman;Times;Serif"/>
          <w:sz w:val="20"/>
        </w:rPr>
        <w:t>” shall have the meaning ascribed to such term in Section 5.17.</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Participation Maximum</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w:t>
      </w:r>
      <w:r>
        <w:rPr>
          <w:rFonts w:ascii="Times New Roman;Times;Serif" w:hAnsi="Times New Roman;Times;Serif"/>
          <w:sz w:val="20"/>
        </w:rPr>
        <w:t>” means Palladium Capital Group, LLC.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Placement Agent Agreement</w:t>
      </w:r>
      <w:r>
        <w:rPr>
          <w:rFonts w:ascii="Times New Roman;Times;Serif" w:hAnsi="Times New Roman;Times;Serif"/>
          <w:sz w:val="20"/>
        </w:rPr>
        <w:t>” means the placement agent agreement, dated on or about August 21, 2026, between the Company and the Placement Agent.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Pre-Notice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Pro Rata Portion</w:t>
      </w:r>
      <w:r>
        <w:rPr>
          <w:rFonts w:ascii="Times New Roman;Times;Serif" w:hAnsi="Times New Roman;Times;Serif"/>
          <w:sz w:val="20"/>
        </w:rPr>
        <w:t>” shall have the meaning ascribed to such term in Section 4.12(e).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Proceeding</w:t>
      </w:r>
      <w:r>
        <w:rPr>
          <w:rFonts w:ascii="Times New Roman;Times;Serif" w:hAnsi="Times New Roman;Times;Serif"/>
          <w:sz w:val="20"/>
        </w:rPr>
        <w:t>” means an action, claim, suit, investigation or proceeding (including, without limitation, an informal investigation or partial proceeding, such as a deposition), whether commenced or threatened.</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w:t>
      </w:r>
      <w:r>
        <w:rPr>
          <w:rFonts w:ascii="Times New Roman;Times;Serif" w:hAnsi="Times New Roman;Times;Serif"/>
          <w:sz w:val="20"/>
        </w:rPr>
        <w:t>” shall have the meaning ascribed to such term in Section 4.3(b).</w:t>
      </w:r>
    </w:p>
    <w:p>
      <w:pPr>
        <w:pStyle w:val="TextBody"/>
        <w:bidi w:val="0"/>
        <w:spacing w:before="0" w:after="240"/>
        <w:ind w:left="720" w:right="0" w:firstLine="720"/>
        <w:jc w:val="both"/>
        <w:rPr/>
      </w:pPr>
      <w:r>
        <w:rPr/>
        <w:t>“</w:t>
      </w:r>
      <w:r>
        <w:rPr>
          <w:rFonts w:ascii="Times New Roman;Times;Serif" w:hAnsi="Times New Roman;Times;Serif"/>
          <w:sz w:val="20"/>
          <w:u w:val="single"/>
        </w:rPr>
        <w:t>Public Information Failure Payments</w:t>
      </w:r>
      <w:r>
        <w:rPr>
          <w:rFonts w:ascii="Times New Roman;Times;Serif" w:hAnsi="Times New Roman;Times;Serif"/>
          <w:sz w:val="20"/>
        </w:rPr>
        <w:t>” shall have the meaning ascribed to such term in Section 4.3(b).</w:t>
      </w:r>
    </w:p>
    <w:p>
      <w:pPr>
        <w:pStyle w:val="TextBody"/>
        <w:bidi w:val="0"/>
        <w:ind w:left="720" w:right="0" w:firstLine="720"/>
        <w:jc w:val="both"/>
        <w:rPr/>
      </w:pPr>
      <w:r>
        <w:rPr/>
        <w:t>“</w:t>
      </w:r>
      <w:r>
        <w:rPr>
          <w:rFonts w:ascii="Times New Roman;Times;Serif" w:hAnsi="Times New Roman;Times;Serif"/>
          <w:sz w:val="20"/>
          <w:u w:val="single"/>
        </w:rPr>
        <w:t>Purchaser Party</w:t>
      </w:r>
      <w:r>
        <w:rPr>
          <w:rFonts w:ascii="Times New Roman;Times;Serif" w:hAnsi="Times New Roman;Times;Serif"/>
          <w:sz w:val="20"/>
        </w:rPr>
        <w:t>” shall have the meaning ascribed to such term in Section 4.10.</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August 21, 2026, among the Company and the Purchasers, as amended and restated as of the date hereof, in the form of </w:t>
      </w:r>
      <w:r>
        <w:rPr>
          <w:rFonts w:ascii="Times New Roman;Times;Serif" w:hAnsi="Times New Roman;Times;Serif"/>
          <w:sz w:val="20"/>
          <w:u w:val="single"/>
        </w:rPr>
        <w:t>Exhibit B</w:t>
      </w:r>
      <w:r>
        <w:rPr>
          <w:rFonts w:ascii="Times New Roman;Times;Serif" w:hAnsi="Times New Roman;Times;Serif"/>
          <w:sz w:val="20"/>
        </w:rPr>
        <w:t xml:space="preserve"> attached hereto.</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Underlying Shares and the Warrant Shares by each Purchaser as provided for in the Registration Rights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Approvals</w:t>
      </w:r>
      <w:r>
        <w:rPr>
          <w:rFonts w:ascii="Times New Roman;Times;Serif" w:hAnsi="Times New Roman;Times;Serif"/>
          <w:sz w:val="20"/>
        </w:rPr>
        <w:t>” shall have the meaning ascribed to such term in Section 3.1(e).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Required Holders</w:t>
      </w:r>
      <w:r>
        <w:rPr>
          <w:rFonts w:ascii="Times New Roman;Times;Serif" w:hAnsi="Times New Roman;Times;Serif"/>
          <w:sz w:val="20"/>
        </w:rPr>
        <w:t>” means, as of any date of determination, if any Debentures are then outstanding, the holders of at least 50.1% in principal amount of the Debentures then outstanding.</w:t>
      </w:r>
    </w:p>
    <w:p>
      <w:pPr>
        <w:pStyle w:val="TextBody"/>
        <w:bidi w:val="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Required Minimum</w:t>
      </w:r>
      <w:r>
        <w:rPr>
          <w:rFonts w:ascii="Times New Roman;Times;Serif" w:hAnsi="Times New Roman;Times;Serif"/>
          <w:sz w:val="20"/>
        </w:rPr>
        <w:t>” means, as of any date, (i) the maximum aggregate number of Underlying Shares issuable upon conversion in full of all Debentures at the initial Conversion Price applicable to such Debentures, ignoring any conversion or exercise limits set forth therein, and assuming that any previously unconverted Debentures are held until the third anniversary of the First Closing Date and all interest is paid as Interest Conversion Shares until such third anniversary, with the number of shares of Common Stock issuable in respect of such interest calculated based on the initial Conversion Price applicable to the Debentures on which such interest accrues, and (ii) the maximum aggregate number of Warrant Shares issuable upon exercise in full of the Warrants, ignoring any exercise limits set forth therein.</w:t>
      </w:r>
    </w:p>
    <w:p>
      <w:pPr>
        <w:pStyle w:val="TextBody"/>
        <w:bidi w:val="0"/>
        <w:ind w:left="720" w:right="0" w:firstLine="720"/>
        <w:jc w:val="both"/>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Reports</w:t>
      </w:r>
      <w:r>
        <w:rPr>
          <w:rFonts w:ascii="Times New Roman;Times;Serif" w:hAnsi="Times New Roman;Times;Serif"/>
          <w:sz w:val="20"/>
        </w:rPr>
        <w:t>” shall have the meaning ascribed to such term in Section 3.1(h).</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Securities</w:t>
      </w:r>
      <w:r>
        <w:rPr>
          <w:rFonts w:ascii="Times New Roman;Times;Serif" w:hAnsi="Times New Roman;Times;Serif"/>
          <w:sz w:val="20"/>
        </w:rPr>
        <w:t>” means the Debentures, the Additional Debentures, the Underlying Shares, the Warrants and the Warrant Shares.</w:t>
      </w:r>
    </w:p>
    <w:p>
      <w:pPr>
        <w:pStyle w:val="TextBody"/>
        <w:bidi w:val="0"/>
        <w:ind w:left="720" w:right="0" w:firstLine="72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ind w:left="72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Shareholder Approval</w:t>
      </w:r>
      <w:r>
        <w:rPr>
          <w:rFonts w:ascii="Times New Roman;Times;Serif" w:hAnsi="Times New Roman;Times;Serif"/>
          <w:sz w:val="20"/>
        </w:rPr>
        <w:t>” means such approval as may be required by the applicable rules and regulations of the Nasdaq Stock Market (or any successor entity) from the shareholders of the Company with respect to the transactions contemplated by the Transaction Documents, including approval of the issuance of all of the Underlying Shares and the Warrant Shares in excess of 19.99% of the number of issued and outstanding shares of Common Stock on the First Closing Date.</w:t>
      </w:r>
    </w:p>
    <w:p>
      <w:pPr>
        <w:pStyle w:val="TextBody"/>
        <w:bidi w:val="0"/>
        <w:ind w:left="720" w:right="0" w:firstLine="720"/>
        <w:jc w:val="both"/>
        <w:rPr/>
      </w:pPr>
      <w:r>
        <w:rPr/>
        <w:t>“</w:t>
      </w:r>
      <w:r>
        <w:rPr>
          <w:rFonts w:ascii="Times New Roman;Times;Serif" w:hAnsi="Times New Roman;Times;Serif"/>
          <w:sz w:val="20"/>
          <w:u w:val="single"/>
        </w:rPr>
        <w:t>Short Sales</w:t>
      </w:r>
      <w:r>
        <w:rPr>
          <w:rFonts w:ascii="Times New Roman;Times;Serif" w:hAnsi="Times New Roman;Times;Serif"/>
          <w:sz w:val="20"/>
        </w:rPr>
        <w:t>” means all “short sales” as defined in Rule 200 of Regulation SHO under the Exchange Act (but shall not be deemed to include locating and/or borrowing shares of Common Stock).</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Subscription Amount</w:t>
      </w:r>
      <w:r>
        <w:rPr>
          <w:rFonts w:ascii="Times New Roman;Times;Serif" w:hAnsi="Times New Roman;Times;Serif"/>
          <w:sz w:val="20"/>
        </w:rPr>
        <w:t>” means, as to each Purchaser, the aggregate amount to be paid for the Debentures and the Warrants purchased hereunder as specified below such Purchaser’s name on the signature page of this Agreement and next to the heading “Subscription Amount,” in United States dollars and in immediately available funds.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w:t>
      </w:r>
      <w:r>
        <w:rPr>
          <w:rFonts w:ascii="Times New Roman;Times;Serif" w:hAnsi="Times New Roman;Times;Serif"/>
          <w:sz w:val="20"/>
        </w:rPr>
        <w:t>” shall have the meaning ascribed to such term in Section 4.12(a).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Subsequent Financing Notice</w:t>
      </w:r>
      <w:r>
        <w:rPr>
          <w:rFonts w:ascii="Times New Roman;Times;Serif" w:hAnsi="Times New Roman;Times;Serif"/>
          <w:sz w:val="20"/>
        </w:rPr>
        <w:t>” shall have the meaning ascribed to such term in Section 4.12(b).</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any direct or indirect subsidiary of the Company formed or acquired after the date hereof.</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trading.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Transaction Documents</w:t>
      </w:r>
      <w:r>
        <w:rPr>
          <w:rFonts w:ascii="Times New Roman;Times;Serif" w:hAnsi="Times New Roman;Times;Serif"/>
          <w:sz w:val="20"/>
        </w:rPr>
        <w:t>” means this Agreement, the Debentures, the Registration Rights Agreement, the Warrants, all exhibits and schedules thereto and hereto and any other documents or agreements executed in connection with the transactions contemplated hereunder.</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Pacific Stock Transfer, the current transfer agent of the Company, and any successor transfer agent of the Company.</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Debentures and Additional Debentures, and issued and issuable in payment of interest on the Debentures and Additional Debentures in accordance with their respective terms. For the sake of clarity, the Conversion Shares and the Interest Conversion Shares shall be included within any use of Underlying Shares pursuant to this Agreement.</w:t>
      </w:r>
    </w:p>
    <w:p>
      <w:pPr>
        <w:pStyle w:val="TextBody"/>
        <w:bidi w:val="0"/>
        <w:ind w:left="720" w:right="0" w:firstLine="720"/>
        <w:jc w:val="both"/>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Variable Rate Transaction</w:t>
      </w:r>
      <w:r>
        <w:rPr>
          <w:rFonts w:ascii="Times New Roman;Times;Serif" w:hAnsi="Times New Roman;Times;Serif"/>
          <w:sz w:val="20"/>
        </w:rPr>
        <w:t>” shall have the meaning ascribed to such term in Section 4.13.</w:t>
      </w:r>
    </w:p>
    <w:p>
      <w:pPr>
        <w:pStyle w:val="TextBody"/>
        <w:bidi w:val="0"/>
        <w:spacing w:before="0" w:after="240"/>
        <w:ind w:left="72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Times;Serif" w:hAnsi="Times New Roman;Times;Serif"/>
          <w:sz w:val="20"/>
          <w:u w:val="single"/>
        </w:rPr>
        <w:t>OTCQB</w:t>
      </w:r>
      <w:r>
        <w:rPr>
          <w:rFonts w:ascii="Times New Roman;Times;Serif" w:hAnsi="Times New Roman;Times;Serif"/>
          <w:sz w:val="20"/>
        </w:rPr>
        <w:t>”) or the OTCQX Best Market (“</w:t>
      </w:r>
      <w:r>
        <w:rPr>
          <w:rFonts w:ascii="Times New Roman;Times;Serif" w:hAnsi="Times New Roman;Times;Serif"/>
          <w:sz w:val="20"/>
          <w:u w:val="single"/>
        </w:rPr>
        <w:t>OTCQX</w:t>
      </w:r>
      <w:r>
        <w:rPr>
          <w:rFonts w:ascii="Times New Roman;Times;Serif" w:hAnsi="Times New Roman;Times;Serif"/>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spacing w:before="0" w:after="240"/>
        <w:ind w:left="72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to purchase shares of Common Stock delivered to the Purchasers on the First Closing Date in accordance with Section 2.2(a) hereof, as amended and restated as of the date hereof, in the form of </w:t>
      </w:r>
      <w:r>
        <w:rPr>
          <w:rFonts w:ascii="Times New Roman;Times;Serif" w:hAnsi="Times New Roman;Times;Serif"/>
          <w:sz w:val="20"/>
          <w:u w:val="single"/>
        </w:rPr>
        <w:t>Exhibit C</w:t>
      </w:r>
      <w:r>
        <w:rPr>
          <w:rFonts w:ascii="Times New Roman;Times;Serif" w:hAnsi="Times New Roman;Times;Serif"/>
          <w:sz w:val="20"/>
        </w:rPr>
        <w:t xml:space="preserve"> attached hereto.</w:t>
      </w:r>
    </w:p>
    <w:p>
      <w:pPr>
        <w:pStyle w:val="TextBody"/>
        <w:bidi w:val="0"/>
        <w:spacing w:before="0" w:after="240"/>
        <w:ind w:left="720" w:right="0" w:firstLine="720"/>
        <w:jc w:val="both"/>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PURCHASE AND SALE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2.1               </w:t>
      </w:r>
      <w:r>
        <w:rPr>
          <w:rFonts w:ascii="Times New Roman;Times;Serif" w:hAnsi="Times New Roman;Times;Serif"/>
          <w:sz w:val="20"/>
          <w:u w:val="single"/>
        </w:rPr>
        <w:t>Closing</w:t>
      </w:r>
      <w:r>
        <w:rPr>
          <w:rFonts w:ascii="Times New Roman;Times;Serif" w:hAnsi="Times New Roman;Times;Serif"/>
          <w:sz w:val="20"/>
        </w:rPr>
        <w:t>. On the First Closing Date (which the parties acknowledge and agree occurred on August 21, 2026), upon the terms and subject to the conditions set forth in the Original SPA, substantially concurrent with the execution and delivery of the Original SPA by the parties thereto, the Company agrees to sell, and the Purchasers, severally and not jointly, agree to purchase (i) up to an aggregate of $9,000,000 principal amount of Debentures for an aggregate Subscription Amount of $9,000,000 as set forth on the signature pages hereto executed by the Purchasers and (ii) the Warrants. Each Purchaser shall deliver to the Company, via wire transfer to the bank account of the Company immediately available funds equal to such Purchaser’s Subscription Amount and the Company shall deliver to each Purchaser its respective Debenture and accompanying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or such other location as the parties shall mutually agree.</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Deliveries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On or prior to the First Closing Date, the Company shall deliver or cause to be delivered to each Purchaser or the Placement Agent, as appropriate, the following:</w:t>
      </w:r>
    </w:p>
    <w:tbl>
      <w:tblPr>
        <w:tblW w:w="4158" w:type="dxa"/>
        <w:jc w:val="left"/>
        <w:tblInd w:w="0" w:type="dxa"/>
        <w:tblLayout w:type="fixed"/>
        <w:tblCellMar>
          <w:top w:w="0" w:type="dxa"/>
          <w:left w:w="0" w:type="dxa"/>
          <w:bottom w:w="0" w:type="dxa"/>
          <w:right w:w="0" w:type="dxa"/>
        </w:tblCellMar>
      </w:tblPr>
      <w:tblGrid>
        <w:gridCol w:w="38"/>
        <w:gridCol w:w="20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duly executed by the Company;</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 legal opinion of Company Counsel, in customary form and reasonably acceptable to the Purchasers;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a Debenture registered in the name of such Purchaser;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              a Warrant registered in the name of such Purchaser to purchase a number of shares of Common Stock equal to 100% of the shares of Common Stock issuable upon conversion of such Purchaser’s Debenture, at an exercise price equal to the Conversion Price, subject to adjustment as set forth in the Warrant;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                the Registration Rights Agreement duly executed by the Company (the parties to execute the amendment and restatement of the Registration Rights Agreement concurrently with the execution of this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(vi)              the Company shall have provided each Purchaser with the Company’s wire instructions, on Company letterhead and executed by the Chief Executive Officer or Chief Financial Officer;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(vii)            a letter executed by the Company and the Transfer Agent reserving the Required Minimum or such lesser amount than permitted under the Company’s articles of incorporation for the benefit of the Purchasers;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(viii)          an officer’s certificate certifying that the representations and warranties of the Company in this Agreement are true and correct as of the Closing Date as though originally made at that time (except for representations and warranties that speak as of a specific date, which shall be true and correct as of such specific date) and that the Company has performed, satisfied and complied in all material respects with the covenants, agreements and conditions required to be performed, satisfied or complied with by the Company at or prior to the Closing Date under any Transaction Documents and no Event of Default (as defined in the Debentures) has occurred and is continuing;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(ix)              an officer’s certificate, in the form acceptable to the Purchasers, executed by an authorized officer of the Company and dated as of the Closing Date, as to (i) the resolutions adopted by the Board of Directors authorizing the transactions contemplated hereby in a form reasonably acceptable to the Purchasers, and (ii) the articles of incorporation and bylaws of the Company, each as in effect at the Closing;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(x)                a certificate of good standing or its equivalent of the Company issued by the State of Nevada, as of a date within ten (10) days of the Closing Date;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(xi)              a letter from the Transfer Agent certifying the number of shares of Common Stock outstanding on the First Closing Date immediately prior to the First Closing;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(xii)            such other documents, instruments or certificates relating to the transactions contemplated by this Agreement as a Purchaser or its counsel may reasonably request.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On or prior to the First Closing Date, each Purchaser, and the Placement Agent, as applicable, shall deliver or cause to be delivered to the Company the following:</w:t>
      </w:r>
    </w:p>
    <w:tbl>
      <w:tblPr>
        <w:tblW w:w="4308" w:type="dxa"/>
        <w:jc w:val="left"/>
        <w:tblInd w:w="0" w:type="dxa"/>
        <w:tblLayout w:type="fixed"/>
        <w:tblCellMar>
          <w:top w:w="0" w:type="dxa"/>
          <w:left w:w="0" w:type="dxa"/>
          <w:bottom w:w="0" w:type="dxa"/>
          <w:right w:w="0" w:type="dxa"/>
        </w:tblCellMar>
      </w:tblPr>
      <w:tblGrid>
        <w:gridCol w:w="38"/>
        <w:gridCol w:w="20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this Agreement duly executed by such Purchaser; </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the Registration Rights Agreement duly executed by such Purchaser;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Placement Agent Agreement duly executed by the Placement Agent.</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Closing Conditions</w:t>
            </w:r>
            <w:r>
              <w:rPr>
                <w:rFonts w:ascii="Times New Roman;Times;Serif" w:hAnsi="Times New Roman;Times;Serif"/>
                <w:sz w:val="20"/>
              </w:rPr>
              <w:t>.</w:t>
            </w:r>
          </w:p>
        </w:tc>
      </w:tr>
    </w:tbl>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obligations of the Company hereunder in connection with each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each Purchaser required to be performed at or prior to the Closing Date shall have been performed;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each Purchaser of the items set forth in Section 2.2(b) of this Agreement;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              in connection with any Additional Closing, the delivery by each participating Purchaser of the subscription amount for the Additional Debentures purchased hereunder, by wire transfer of immediately available funds to the account designated by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respective obligations of the Purchasers hereunder in connection with each Closing are subject to the following conditions being met: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               all obligations, covenants and agreements of the Company required to be performed at or prior to the applicable Closing Date shall have been performed;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             the delivery by the Company of the items set forth in Section 2.2(a) of this Agreement;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(iv)              there shall have been no Material Adverse Effect with respect to the Company; </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                the Company shall be current with and shall have timely filed all SEC Reports required to have been filed as of the Closing Date (subject to any applicable grace periods);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2.4                           </w:t>
      </w:r>
      <w:r>
        <w:rPr>
          <w:rFonts w:ascii="Times New Roman;Times;Serif" w:hAnsi="Times New Roman;Times;Serif"/>
          <w:sz w:val="20"/>
          <w:u w:val="single"/>
        </w:rPr>
        <w:t>Amendment and Restatement of Debentures and Warrants</w:t>
      </w:r>
      <w:r>
        <w:rPr>
          <w:rFonts w:ascii="Times New Roman;Times;Serif" w:hAnsi="Times New Roman;Times;Serif"/>
          <w:sz w:val="20"/>
        </w:rPr>
        <w:t xml:space="preserve">. Concurrently with the execution and delivery of this Agreement, (a) the Company shall deliver to each Purchaser an amended and restated Debenture in the form of </w:t>
      </w:r>
      <w:r>
        <w:rPr>
          <w:rFonts w:ascii="Times New Roman;Times;Serif" w:hAnsi="Times New Roman;Times;Serif"/>
          <w:sz w:val="20"/>
          <w:u w:val="single"/>
        </w:rPr>
        <w:t>Exhibit A,</w:t>
      </w:r>
      <w:r>
        <w:rPr>
          <w:rFonts w:ascii="Times New Roman;Times;Serif" w:hAnsi="Times New Roman;Times;Serif"/>
          <w:sz w:val="20"/>
        </w:rPr>
        <w:t xml:space="preserve"> and an amended and restated Warrant in the form of </w:t>
      </w:r>
      <w:r>
        <w:rPr>
          <w:rFonts w:ascii="Times New Roman;Times;Serif" w:hAnsi="Times New Roman;Times;Serif"/>
          <w:sz w:val="20"/>
          <w:u w:val="single"/>
        </w:rPr>
        <w:t>Exhibit C</w:t>
      </w:r>
      <w:r>
        <w:rPr>
          <w:rFonts w:ascii="Times New Roman;Times;Serif" w:hAnsi="Times New Roman;Times;Serif"/>
          <w:sz w:val="20"/>
        </w:rPr>
        <w:t>, in each case registered in the name of such Purchaser and in the same outstanding principal amount or number of Warrant Shares, as applicable, as the Debenture and Warrant held by such Purchaser immediately prior to the date hereof, and (b) each Purchaser shall surrender to the Company for cancellation the original Debenture and Warrant issued to it pursuant to the Original SPA (or, if lost, stolen or destroyed, an affidavit of loss in customary form). No additional consideration shall be payable by any Purchaser, and no commission or other remuneration shall be paid or given, directly or indirectly, for soliciting the exchange contemplated by this Section 2.4.</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3.1       </w:t>
      </w:r>
      <w:r>
        <w:rPr>
          <w:rFonts w:ascii="Times New Roman;Times;Serif" w:hAnsi="Times New Roman;Times;Serif"/>
          <w:sz w:val="20"/>
          <w:u w:val="single"/>
        </w:rPr>
        <w:t>Representations and Warranties of the Company</w:t>
      </w:r>
      <w:r>
        <w:rPr>
          <w:rFonts w:ascii="Times New Roman;Times;Serif" w:hAnsi="Times New Roman;Times;Serif"/>
          <w:sz w:val="20"/>
        </w:rPr>
        <w:t>. Except as set forth in the Disclosure Schedules, which Disclosure Schedules shall be deemed a part hereof and shall qualify any representation made herein to the extent of the disclosure contained in the corresponding section of the Disclosure Schedules, and the SEC Reports, the Company hereby makes the following representations and warranties to each Purchaser as of the date hereof and as of each Additional Closing Date (it being understood that the representations and warranties made by the Company in the Original SPA spoke only as of the dates on which they were made and are superseded hereby):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Subsidiaries</w:t>
      </w:r>
      <w:r>
        <w:rPr>
          <w:rFonts w:ascii="Times New Roman;Times;Serif" w:hAnsi="Times New Roman;Times;Serif"/>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Organization and Qualification</w:t>
      </w:r>
      <w:r>
        <w:rPr>
          <w:rFonts w:ascii="Times New Roman;Times;Serif" w:hAnsi="Times New Roman;Times;Serif"/>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material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sz w:val="20"/>
          <w:u w:val="single"/>
        </w:rPr>
        <w:t>Material Adverse Effect</w:t>
      </w:r>
      <w:r>
        <w:rPr>
          <w:rFonts w:ascii="Times New Roman;Times;Serif" w:hAnsi="Times New Roman;Times;Serif"/>
          <w:sz w:val="20"/>
        </w:rPr>
        <w:t>”); provided, however, that “Material Adverse Effect” shall not include any event, occurrence, fact, condition, or change, directly or indirectly, arising out of or attributable to (i) the announcement, pendency, or completion of the transactions contemplated by the Transaction Documents, or (ii) any action required or permitted by the Transaction Documents. To the Company’s knowledge, no Proceeding has been instituted in any such jurisdiction revoking, limiting or curtailing or seeking to revoke, limit or curtail such power and authority or qualification.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Authorization; Enforcement</w:t>
      </w:r>
      <w:r>
        <w:rPr>
          <w:rFonts w:ascii="Times New Roman;Times;Serif" w:hAnsi="Times New Roman;Times;Serif"/>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including, the Shareholder Approval.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Filings, Consents and Approvals</w:t>
      </w:r>
      <w:r>
        <w:rPr>
          <w:rFonts w:ascii="Times New Roman;Times;Serif" w:hAnsi="Times New Roman;Times;Serif"/>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filings with the Commission required pursuant to the Registration Rights Agreement, (iii) the notice and/or application(s) to each applicable Trading Market for the issuance and sale of the Securities and the listing of the Underlying Shares and the Warrant Shares for trading thereon in the time and manner required thereby, (iv) the filing of Form D with the Commission and such filings as are required to be made under applicable state securities laws, and (v) the Shareholder Approval (collectively, the “</w:t>
      </w:r>
      <w:r>
        <w:rPr>
          <w:rFonts w:ascii="Times New Roman;Times;Serif" w:hAnsi="Times New Roman;Times;Serif"/>
          <w:sz w:val="20"/>
          <w:u w:val="single"/>
        </w:rPr>
        <w:t>Required Approvals</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Issuance of the Securities</w:t>
      </w:r>
      <w:r>
        <w:rPr>
          <w:rFonts w:ascii="Times New Roman;Times;Serif" w:hAnsi="Times New Roman;Times;Serif"/>
          <w:sz w:val="20"/>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and applicable law;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issuance of the Underlying Shares and the Warrant Shares, in the aggregate, in excess of the Issuable Maximum, is subject to the Company’s receipt of the Shareholder Approval, the availability of a sufficient number of authorized and unissued shares of Common Stock, and compliance with applicable law and Trading Market requirements, as applicable. The Debentures will constitute valid and binding obligations of the Company. The Underlying Shares, when issued in accordance with the terms of the Transaction Documents, and subject to the Company’s receipt of the Shareholder Approval to the extent required for issuances in excess of the applicable Issuance Maximum,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The Warrant Shares, when issued in accordance with the terms of the Warrants, and subject to the Company’s receipt of the Shareholder Approval to the extent required for issuances in excess of the applicable Issuable Maximum, the availability of a sufficient number of authorized and unissued shares of Common Stock, and compliance with applicable law and Trading Market requirements, will be validly issued, fully paid and nonassessable, free and clear of all Liens imposed by the Company other than restrictions on transfer provided for in the Transaction Documents. As of the date hereof, the Company has reserved from its duly authorized capital stock the maximum number of shares of Common Stock currently available for issuance pursuant to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Capitalization</w:t>
      </w:r>
      <w:r>
        <w:rPr>
          <w:rFonts w:ascii="Times New Roman;Times;Serif" w:hAnsi="Times New Roman;Times;Serif"/>
          <w:sz w:val="20"/>
        </w:rPr>
        <w:t>. The capitalization of the Company as of the date hereof is as set forth in the SEC Reports. Except as set forth in the SEC Reports or Schedule 3.1(g),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in the SEC Reports,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Other than the Shareholder Approval, no further approval or authorization of any stockholder, the Board of Directors or others is required for the issuance and sale of the Securities.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SEC Reports; Financial Statements</w:t>
      </w:r>
      <w:r>
        <w:rPr>
          <w:rFonts w:ascii="Times New Roman;Times;Serif" w:hAnsi="Times New Roman;Times;Serif"/>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sz w:val="20"/>
          <w:u w:val="single"/>
        </w:rPr>
        <w:t>SEC Reports</w:t>
      </w:r>
      <w:r>
        <w:rPr>
          <w:rFonts w:ascii="Times New Roman;Times;Serif" w:hAnsi="Times New Roman;Times;Serif"/>
          <w:sz w:val="20"/>
        </w:rPr>
        <w:t>”) on a timely basis including any extensions permitted by Rule 12b-25 under the Exchange Act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sz w:val="20"/>
          <w:u w:val="single"/>
        </w:rPr>
        <w:t>GAAP</w:t>
      </w:r>
      <w:r>
        <w:rPr>
          <w:rFonts w:ascii="Times New Roman;Times;Serif" w:hAnsi="Times New Roman;Times;Serif"/>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Material Changes; Undisclosed Events, Liabilities or Developments</w:t>
      </w:r>
      <w:r>
        <w:rPr>
          <w:rFonts w:ascii="Times New Roman;Times;Serif" w:hAnsi="Times New Roman;Times;Serif"/>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to the knowledge of the Company,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Litigation</w:t>
      </w:r>
      <w:r>
        <w:rPr>
          <w:rFonts w:ascii="Times New Roman;Times;Serif" w:hAnsi="Times New Roman;Times;Serif"/>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sz w:val="20"/>
          <w:u w:val="single"/>
        </w:rPr>
        <w:t>Action</w:t>
      </w:r>
      <w:r>
        <w:rPr>
          <w:rFonts w:ascii="Times New Roman;Times;Serif" w:hAnsi="Times New Roman;Times;Serif"/>
          <w:sz w:val="20"/>
        </w:rPr>
        <w:t>”). Except as set forth in the SEC Reports, there is no Action that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the subject of any pending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Labor Relations</w:t>
      </w:r>
      <w:r>
        <w:rPr>
          <w:rFonts w:ascii="Times New Roman;Times;Serif" w:hAnsi="Times New Roman;Times;Serif"/>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the Company and its Subsidiaries believe that their relationships with their employees are satisfactory in all material respects.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Compliance</w:t>
      </w:r>
      <w:r>
        <w:rPr>
          <w:rFonts w:ascii="Times New Roman;Times;Serif" w:hAnsi="Times New Roman;Times;Serif"/>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Environmental Laws</w:t>
      </w:r>
      <w:r>
        <w:rPr>
          <w:rFonts w:ascii="Times New Roman;Times;Serif" w:hAnsi="Times New Roman;Times;Serif"/>
          <w:sz w:val="20"/>
        </w:rPr>
        <w:t>.</w:t>
        <w:tab/>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sz w:val="20"/>
          <w:u w:val="single"/>
        </w:rPr>
        <w:t>Hazardous Materials</w:t>
      </w:r>
      <w:r>
        <w:rPr>
          <w:rFonts w:ascii="Times New Roman;Times;Serif" w:hAnsi="Times New Roman;Times;Serif"/>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sz w:val="20"/>
          <w:u w:val="single"/>
        </w:rPr>
        <w:t>Environmental Laws</w:t>
      </w:r>
      <w:r>
        <w:rPr>
          <w:rFonts w:ascii="Times New Roman;Times;Serif" w:hAnsi="Times New Roman;Times;Serif"/>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Regulatory Permits</w:t>
      </w:r>
      <w:r>
        <w:rPr>
          <w:rFonts w:ascii="Times New Roman;Times;Serif" w:hAnsi="Times New Roman;Times;Serif"/>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sz w:val="20"/>
          <w:u w:val="single"/>
        </w:rPr>
        <w:t>Material Permits</w:t>
      </w:r>
      <w:r>
        <w:rPr>
          <w:rFonts w:ascii="Times New Roman;Times;Serif" w:hAnsi="Times New Roman;Times;Serif"/>
          <w:sz w:val="20"/>
        </w:rPr>
        <w:t>”), and neither the Company nor any Subsidiary has received any notice of proceedings relating to the revocation or modification of any Material Permit.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                </w:t>
      </w:r>
      <w:r>
        <w:rPr>
          <w:rFonts w:ascii="Times New Roman;Times;Serif" w:hAnsi="Times New Roman;Times;Serif"/>
          <w:sz w:val="20"/>
          <w:u w:val="single"/>
        </w:rPr>
        <w:t>Title to Assets</w:t>
      </w:r>
      <w:r>
        <w:rPr>
          <w:rFonts w:ascii="Times New Roman;Times;Serif" w:hAnsi="Times New Roman;Times;Serif"/>
          <w:sz w:val="20"/>
        </w:rPr>
        <w:t>. The Company and the Subsidiaries have good and marketable title in fee simple to, or have valid and marketable rights to lease or otherwise use, all real property owned by them and good and marketable title in all personal property owned by them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                </w:t>
      </w:r>
      <w:r>
        <w:rPr>
          <w:rFonts w:ascii="Times New Roman;Times;Serif" w:hAnsi="Times New Roman;Times;Serif"/>
          <w:sz w:val="20"/>
          <w:u w:val="single"/>
        </w:rPr>
        <w:t>Intellectual Property</w:t>
      </w:r>
      <w:r>
        <w:rPr>
          <w:rFonts w:ascii="Times New Roman;Times;Serif" w:hAnsi="Times New Roman;Times;Serif"/>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sz w:val="20"/>
          <w:u w:val="single"/>
        </w:rPr>
        <w:t>Intellectual Property Rights</w:t>
      </w:r>
      <w:r>
        <w:rPr>
          <w:rFonts w:ascii="Times New Roman;Times;Serif" w:hAnsi="Times New Roman;Times;Serif"/>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that would be reasonably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                </w:t>
      </w:r>
      <w:r>
        <w:rPr>
          <w:rFonts w:ascii="Times New Roman;Times;Serif" w:hAnsi="Times New Roman;Times;Serif"/>
          <w:sz w:val="20"/>
          <w:u w:val="single"/>
        </w:rPr>
        <w:t>Insurance</w:t>
      </w:r>
      <w:r>
        <w:rPr>
          <w:rFonts w:ascii="Times New Roman;Times;Serif" w:hAnsi="Times New Roman;Times;Serif"/>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amounts satisfactory to the Board and comparable to other similarly situated public companies in the industry in which the Company operates. Neither the Company nor any Subsidiary has any reason to believe that it will not be able to renew its existing insurance coverage as and when such coverage expires or to obtain similar coverage from similar insurers as necessary to continue its business without a significant increase in cost.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                 </w:t>
      </w:r>
      <w:r>
        <w:rPr>
          <w:rFonts w:ascii="Times New Roman;Times;Serif" w:hAnsi="Times New Roman;Times;Serif"/>
          <w:sz w:val="20"/>
          <w:u w:val="single"/>
        </w:rPr>
        <w:t>Transactions with Affiliates and Employees</w:t>
      </w:r>
      <w:r>
        <w:rPr>
          <w:rFonts w:ascii="Times New Roman;Times;Serif" w:hAnsi="Times New Roman;Times;Serif"/>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u w:val="single"/>
        </w:rPr>
        <w:t>Sarbanes-Oxley; Internal Accounting Controls</w:t>
      </w:r>
      <w:r>
        <w:rPr>
          <w:rFonts w:ascii="Times New Roman;Times;Serif" w:hAnsi="Times New Roman;Times;Serif"/>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sz w:val="20"/>
          <w:u w:val="single"/>
        </w:rPr>
        <w:t>Evaluation Date</w:t>
      </w:r>
      <w:r>
        <w:rPr>
          <w:rFonts w:ascii="Times New Roman;Times;Serif" w:hAnsi="Times New Roman;Times;Serif"/>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                 </w:t>
      </w:r>
      <w:r>
        <w:rPr>
          <w:rFonts w:ascii="Times New Roman;Times;Serif" w:hAnsi="Times New Roman;Times;Serif"/>
          <w:sz w:val="20"/>
          <w:u w:val="single"/>
        </w:rPr>
        <w:t>Certain Fees</w:t>
      </w:r>
      <w:r>
        <w:rPr>
          <w:rFonts w:ascii="Times New Roman;Times;Serif" w:hAnsi="Times New Roman;Times;Serif"/>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                </w:t>
      </w:r>
      <w:r>
        <w:rPr>
          <w:rFonts w:ascii="Times New Roman;Times;Serif" w:hAnsi="Times New Roman;Times;Serif"/>
          <w:sz w:val="20"/>
          <w:u w:val="single"/>
        </w:rPr>
        <w:t>Private Placement</w:t>
      </w:r>
      <w:r>
        <w:rPr>
          <w:rFonts w:ascii="Times New Roman;Times;Serif" w:hAnsi="Times New Roman;Times;Serif"/>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Investment Company.</w:t>
      </w:r>
      <w:r>
        <w:rPr>
          <w:rFonts w:ascii="Times New Roman;Times;Serif" w:hAnsi="Times New Roman;Times;Serif"/>
          <w:sz w:val="20"/>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              </w:t>
      </w:r>
      <w:r>
        <w:rPr>
          <w:rFonts w:ascii="Times New Roman;Times;Serif" w:hAnsi="Times New Roman;Times;Serif"/>
          <w:sz w:val="20"/>
          <w:u w:val="single"/>
        </w:rPr>
        <w:t>Registration Rights</w:t>
      </w:r>
      <w:r>
        <w:rPr>
          <w:rFonts w:ascii="Times New Roman;Times;Serif" w:hAnsi="Times New Roman;Times;Serif"/>
          <w:sz w:val="20"/>
        </w:rPr>
        <w:t>. Except as set forth in the SEC Reports, other than each of the Purchasers, no Person has any right to cause the Company or any Subsidiary to effect the registration under the Securities Act of any securities of the Company or any Subsidiary.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(x)                </w:t>
      </w:r>
      <w:r>
        <w:rPr>
          <w:rFonts w:ascii="Times New Roman;Times;Serif" w:hAnsi="Times New Roman;Times;Serif"/>
          <w:sz w:val="20"/>
          <w:u w:val="single"/>
        </w:rPr>
        <w:t>Listing and Maintenance Requirements</w:t>
      </w:r>
      <w:r>
        <w:rPr>
          <w:rFonts w:ascii="Times New Roman;Times;Serif" w:hAnsi="Times New Roman;Times;Serif"/>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(y)                </w:t>
      </w:r>
      <w:r>
        <w:rPr>
          <w:rFonts w:ascii="Times New Roman;Times;Serif" w:hAnsi="Times New Roman;Times;Serif"/>
          <w:sz w:val="20"/>
          <w:u w:val="single"/>
        </w:rPr>
        <w:t>Application of Takeover Protections</w:t>
      </w:r>
      <w:r>
        <w:rPr>
          <w:rFonts w:ascii="Times New Roman;Times;Serif" w:hAnsi="Times New Roman;Times;Serif"/>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(z)                </w:t>
      </w:r>
      <w:r>
        <w:rPr>
          <w:rFonts w:ascii="Times New Roman;Times;Serif" w:hAnsi="Times New Roman;Times;Serif"/>
          <w:sz w:val="20"/>
          <w:u w:val="single"/>
        </w:rPr>
        <w:t>Disclosure</w:t>
      </w:r>
      <w:r>
        <w:rPr>
          <w:rFonts w:ascii="Times New Roman;Times;Serif" w:hAnsi="Times New Roman;Times;Serif"/>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disclosures furnished by or on behalf of the Company to the Purchasers regarding the Company and its Subsidiaries, their respective businesses and the transactions contemplated hereby, including the Disclosure schedules to this Agreement, is in all material respects true and correct and does not contain any untrue statement of a material fact or omit to state any material fact necessary in order to make the statements made therein, in the light of the circumstances under which they were made, not misleading. To the knowledge of the Company,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(aa)             </w:t>
      </w:r>
      <w:r>
        <w:rPr>
          <w:rFonts w:ascii="Times New Roman;Times;Serif" w:hAnsi="Times New Roman;Times;Serif"/>
          <w:sz w:val="20"/>
          <w:u w:val="single"/>
        </w:rPr>
        <w:t>No Integrated Offering</w:t>
      </w:r>
      <w:r>
        <w:rPr>
          <w:rFonts w:ascii="Times New Roman;Times;Serif" w:hAnsi="Times New Roman;Times;Serif"/>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(bb)            </w:t>
      </w:r>
      <w:r>
        <w:rPr>
          <w:rFonts w:ascii="Times New Roman;Times;Serif" w:hAnsi="Times New Roman;Times;Serif"/>
          <w:sz w:val="20"/>
          <w:u w:val="single"/>
        </w:rPr>
        <w:t>Solvency</w:t>
      </w:r>
      <w:r>
        <w:rPr>
          <w:rFonts w:ascii="Times New Roman;Times;Serif" w:hAnsi="Times New Roman;Times;Serif"/>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sz w:val="20"/>
          <w:u w:val="single"/>
        </w:rPr>
        <w:t>Indebtedness</w:t>
      </w:r>
      <w:r>
        <w:rPr>
          <w:rFonts w:ascii="Times New Roman;Times;Serif" w:hAnsi="Times New Roman;Times;Serif"/>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(cc)             </w:t>
      </w:r>
      <w:r>
        <w:rPr>
          <w:rFonts w:ascii="Times New Roman;Times;Serif" w:hAnsi="Times New Roman;Times;Serif"/>
          <w:sz w:val="20"/>
          <w:u w:val="single"/>
        </w:rPr>
        <w:t>Tax Status</w:t>
      </w:r>
      <w:r>
        <w:rPr>
          <w:rFonts w:ascii="Times New Roman;Times;Serif" w:hAnsi="Times New Roman;Times;Serif"/>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(dd)            </w:t>
      </w:r>
      <w:r>
        <w:rPr>
          <w:rFonts w:ascii="Times New Roman;Times;Serif" w:hAnsi="Times New Roman;Times;Serif"/>
          <w:sz w:val="20"/>
          <w:u w:val="single"/>
        </w:rPr>
        <w:t>No General Solicitation</w:t>
      </w:r>
      <w:r>
        <w:rPr>
          <w:rFonts w:ascii="Times New Roman;Times;Serif" w:hAnsi="Times New Roman;Times;Serif"/>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(ee)             </w:t>
      </w:r>
      <w:r>
        <w:rPr>
          <w:rFonts w:ascii="Times New Roman;Times;Serif" w:hAnsi="Times New Roman;Times;Serif"/>
          <w:sz w:val="20"/>
          <w:u w:val="single"/>
        </w:rPr>
        <w:t>Foreign Corrupt Practices.</w:t>
      </w:r>
      <w:r>
        <w:rPr>
          <w:rFonts w:ascii="Times New Roman;Times;Serif" w:hAnsi="Times New Roman;Times;Serif"/>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(ff)               </w:t>
      </w:r>
      <w:r>
        <w:rPr>
          <w:rFonts w:ascii="Times New Roman;Times;Serif" w:hAnsi="Times New Roman;Times;Serif"/>
          <w:sz w:val="20"/>
          <w:u w:val="single"/>
        </w:rPr>
        <w:t>Accountants</w:t>
      </w:r>
      <w:r>
        <w:rPr>
          <w:rFonts w:ascii="Times New Roman;Times;Serif" w:hAnsi="Times New Roman;Times;Serif"/>
          <w:sz w:val="20"/>
        </w:rPr>
        <w:t>. The Company’s accounting firm is set forth in the SEC Reports. To the knowledge and belief of the Company, such accounting firm shall express its opinion with respect to the financial statements to be included in the Company’s Annual Report for the fiscal year ending December 31, 2026, unless and until such time as the Company may appoint a successor registered public accounting firm as required by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(gg)            </w:t>
      </w:r>
      <w:r>
        <w:rPr>
          <w:rFonts w:ascii="Times New Roman;Times;Serif" w:hAnsi="Times New Roman;Times;Serif"/>
          <w:sz w:val="20"/>
          <w:u w:val="single"/>
        </w:rPr>
        <w:t>Seniority</w:t>
      </w:r>
      <w:r>
        <w:rPr>
          <w:rFonts w:ascii="Times New Roman;Times;Serif" w:hAnsi="Times New Roman;Times;Serif"/>
          <w:sz w:val="20"/>
        </w:rPr>
        <w:t>. Except as otherwise disclosed in the SEC Reports, as of the Closing Date, no Indebtedness or other claim against the Company is senior to the Debentures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(hh)            </w:t>
      </w:r>
      <w:r>
        <w:rPr>
          <w:rFonts w:ascii="Times New Roman;Times;Serif" w:hAnsi="Times New Roman;Times;Serif"/>
          <w:sz w:val="20"/>
          <w:u w:val="single"/>
        </w:rPr>
        <w:t>No Disagreements with Accountants and Lawyers.</w:t>
      </w:r>
      <w:r>
        <w:rPr>
          <w:rFonts w:ascii="Times New Roman;Times;Serif" w:hAnsi="Times New Roman;Times;Serif"/>
          <w:sz w:val="20"/>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Acknowledgment Regarding Purchasers’ Purchase of Securities</w:t>
      </w:r>
      <w:r>
        <w:rPr>
          <w:rFonts w:ascii="Times New Roman;Times;Serif" w:hAnsi="Times New Roman;Times;Serif"/>
          <w:sz w:val="20"/>
        </w:rPr>
        <w:t xml:space="preserve">.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The Company further represents that, to its knowledge, each Purchaser is participating in the offering of Securities contemplated hereby separately and independently of the other Purchasers.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(jj)               </w:t>
      </w:r>
      <w:r>
        <w:rPr>
          <w:rFonts w:ascii="Times New Roman;Times;Serif" w:hAnsi="Times New Roman;Times;Serif"/>
          <w:sz w:val="20"/>
          <w:u w:val="single"/>
        </w:rPr>
        <w:t>Acknowledgment Regarding Purchaser’s Trading Activity</w:t>
      </w:r>
      <w:r>
        <w:rPr>
          <w:rFonts w:ascii="Times New Roman;Times;Serif" w:hAnsi="Times New Roman;Times;Serif"/>
          <w:sz w:val="20"/>
        </w:rPr>
        <w:t>. Notwithstanding anything in this Agreement or elsewhere herein to the contrary notwithstanding (except for Sections 3.2(g) and 4.15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and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(kk)            </w:t>
      </w:r>
      <w:r>
        <w:rPr>
          <w:rFonts w:ascii="Times New Roman;Times;Serif" w:hAnsi="Times New Roman;Times;Serif"/>
          <w:sz w:val="20"/>
          <w:u w:val="single"/>
        </w:rPr>
        <w:t>Regulation M Compliance</w:t>
      </w:r>
      <w:r>
        <w:rPr>
          <w:rFonts w:ascii="Times New Roman;Times;Serif" w:hAnsi="Times New Roman;Times;Serif"/>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(ll)               </w:t>
      </w:r>
      <w:r>
        <w:rPr>
          <w:rFonts w:ascii="Times New Roman;Times;Serif" w:hAnsi="Times New Roman;Times;Serif"/>
          <w:spacing w:val="-3"/>
          <w:sz w:val="20"/>
          <w:u w:val="single"/>
        </w:rPr>
        <w:t>Reserved</w:t>
      </w:r>
      <w:r>
        <w:rPr>
          <w:rFonts w:ascii="Times New Roman;Times;Serif" w:hAnsi="Times New Roman;Times;Serif"/>
          <w:spacing w:val="-3"/>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(mm)        </w:t>
      </w:r>
      <w:r>
        <w:rPr>
          <w:rFonts w:ascii="Times New Roman;Times;Serif" w:hAnsi="Times New Roman;Times;Serif"/>
          <w:sz w:val="20"/>
          <w:u w:val="single"/>
        </w:rPr>
        <w:t>Form S-3 Eligibility</w:t>
      </w:r>
      <w:r>
        <w:rPr>
          <w:rFonts w:ascii="Times New Roman;Times;Serif" w:hAnsi="Times New Roman;Times;Serif"/>
          <w:sz w:val="20"/>
        </w:rPr>
        <w:t>.</w:t>
        <w:tab/>
        <w:t>The Company is eligible to register the resale of the Underlying Shares and the Warrant Shares for resale by the Purchasers on Form S-3 promulgated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(nn)            </w:t>
      </w:r>
      <w:r>
        <w:rPr>
          <w:rFonts w:ascii="Times New Roman;Times;Serif" w:hAnsi="Times New Roman;Times;Serif"/>
          <w:sz w:val="20"/>
          <w:u w:val="single"/>
        </w:rPr>
        <w:t>Stock Option Plans</w:t>
      </w:r>
      <w:r>
        <w:rPr>
          <w:rFonts w:ascii="Times New Roman;Times;Serif" w:hAnsi="Times New Roman;Times;Serif"/>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(oo)            </w:t>
      </w:r>
      <w:r>
        <w:rPr>
          <w:rFonts w:ascii="Times New Roman;Times;Serif" w:hAnsi="Times New Roman;Times;Serif"/>
          <w:sz w:val="20"/>
          <w:u w:val="single"/>
        </w:rPr>
        <w:t>Cybersecurity</w:t>
      </w:r>
      <w:r>
        <w:rPr>
          <w:rFonts w:ascii="Times New Roman;Times;Serif" w:hAnsi="Times New Roman;Times;Serif"/>
          <w:sz w:val="20"/>
        </w:rPr>
        <w:t>.  (i)(x) To the knowledge of the Company,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sz w:val="20"/>
          <w:u w:val="single"/>
        </w:rPr>
        <w:t>IT Systems and Data</w:t>
      </w:r>
      <w:r>
        <w:rPr>
          <w:rFonts w:ascii="Times New Roman;Times;Serif" w:hAnsi="Times New Roman;Times;Serif"/>
          <w:sz w:val="20"/>
        </w:rPr>
        <w:t>”) during the three (3) years preceding the date hereof,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(pp)            </w:t>
      </w:r>
      <w:r>
        <w:rPr>
          <w:rFonts w:ascii="Times New Roman;Times;Serif" w:hAnsi="Times New Roman;Times;Serif"/>
          <w:sz w:val="20"/>
          <w:u w:val="single"/>
        </w:rPr>
        <w:t>Compliance with Data Privacy Laws</w:t>
      </w:r>
      <w:r>
        <w:rPr>
          <w:rFonts w:ascii="Times New Roman;Times;Serif" w:hAnsi="Times New Roman;Times;Serif"/>
          <w:sz w:val="20"/>
        </w:rPr>
        <w:t>. To the knowledge of the Company,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Times;Serif" w:hAnsi="Times New Roman;Times;Serif"/>
          <w:sz w:val="20"/>
          <w:u w:val="single"/>
        </w:rPr>
        <w:t>GDPR</w:t>
      </w:r>
      <w:r>
        <w:rPr>
          <w:rFonts w:ascii="Times New Roman;Times;Serif" w:hAnsi="Times New Roman;Times;Serif"/>
          <w:sz w:val="20"/>
        </w:rPr>
        <w:t>”) (EU 2016/679) (collectively, “</w:t>
      </w:r>
      <w:r>
        <w:rPr>
          <w:rFonts w:ascii="Times New Roman;Times;Serif" w:hAnsi="Times New Roman;Times;Serif"/>
          <w:sz w:val="20"/>
          <w:u w:val="single"/>
        </w:rPr>
        <w:t>Privacy Laws</w:t>
      </w:r>
      <w:r>
        <w:rPr>
          <w:rFonts w:ascii="Times New Roman;Times;Serif" w:hAnsi="Times New Roman;Times;Serif"/>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sz w:val="20"/>
          <w:u w:val="single"/>
        </w:rPr>
        <w:t>Policies</w:t>
      </w:r>
      <w:r>
        <w:rPr>
          <w:rFonts w:ascii="Times New Roman;Times;Serif" w:hAnsi="Times New Roman;Times;Serif"/>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sz w:val="20"/>
          <w:u w:val="single"/>
        </w:rPr>
        <w:t>Personal Data</w:t>
      </w:r>
      <w:r>
        <w:rPr>
          <w:rFonts w:ascii="Times New Roman;Times;Serif" w:hAnsi="Times New Roman;Times;Serif"/>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(qq)            </w:t>
      </w:r>
      <w:r>
        <w:rPr>
          <w:rFonts w:ascii="Times New Roman;Times;Serif" w:hAnsi="Times New Roman;Times;Serif"/>
          <w:sz w:val="20"/>
          <w:u w:val="single"/>
        </w:rPr>
        <w:t>Office of Foreign Assets Control</w:t>
      </w:r>
      <w:r>
        <w:rPr>
          <w:rFonts w:ascii="Times New Roman;Times;Serif" w:hAnsi="Times New Roman;Times;Serif"/>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sz w:val="20"/>
          <w:u w:val="single"/>
        </w:rPr>
        <w:t>OFAC</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(rr)               </w:t>
      </w:r>
      <w:r>
        <w:rPr>
          <w:rFonts w:ascii="Times New Roman;Times;Serif" w:hAnsi="Times New Roman;Times;Serif"/>
          <w:sz w:val="20"/>
          <w:u w:val="single"/>
        </w:rPr>
        <w:t>U.S. Real Property Holding Corporation</w:t>
      </w:r>
      <w:r>
        <w:rPr>
          <w:rFonts w:ascii="Times New Roman;Times;Serif" w:hAnsi="Times New Roman;Times;Serif"/>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(ss)              </w:t>
      </w:r>
      <w:r>
        <w:rPr>
          <w:rFonts w:ascii="Times New Roman;Times;Serif" w:hAnsi="Times New Roman;Times;Serif"/>
          <w:sz w:val="20"/>
          <w:u w:val="single"/>
        </w:rPr>
        <w:t>Bank Holding Company Act</w:t>
      </w:r>
      <w:r>
        <w:rPr>
          <w:rFonts w:ascii="Times New Roman;Times;Serif" w:hAnsi="Times New Roman;Times;Serif"/>
          <w:sz w:val="20"/>
        </w:rPr>
        <w:t>. Neither the Company nor any of its Subsidiaries or Affiliates is subject to the Bank Holding Company Act of 1956, as amended (the “</w:t>
      </w:r>
      <w:r>
        <w:rPr>
          <w:rFonts w:ascii="Times New Roman;Times;Serif" w:hAnsi="Times New Roman;Times;Serif"/>
          <w:sz w:val="20"/>
          <w:u w:val="single"/>
        </w:rPr>
        <w:t>BHCA</w:t>
      </w:r>
      <w:r>
        <w:rPr>
          <w:rFonts w:ascii="Times New Roman;Times;Serif" w:hAnsi="Times New Roman;Times;Serif"/>
          <w:sz w:val="20"/>
        </w:rPr>
        <w:t>”) and to regulation by the Board of Governors of the Federal Reserve System (the “</w:t>
      </w:r>
      <w:r>
        <w:rPr>
          <w:rFonts w:ascii="Times New Roman;Times;Serif" w:hAnsi="Times New Roman;Times;Serif"/>
          <w:sz w:val="20"/>
          <w:u w:val="single"/>
        </w:rPr>
        <w:t>Federal Reserve</w:t>
      </w:r>
      <w:r>
        <w:rPr>
          <w:rFonts w:ascii="Times New Roman;Times;Serif" w:hAnsi="Times New Roman;Times;Serif"/>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(tt)               </w:t>
      </w:r>
      <w:r>
        <w:rPr>
          <w:rFonts w:ascii="Times New Roman;Times;Serif" w:hAnsi="Times New Roman;Times;Serif"/>
          <w:sz w:val="20"/>
          <w:u w:val="single"/>
        </w:rPr>
        <w:t>Money Laundering</w:t>
      </w:r>
      <w:r>
        <w:rPr>
          <w:rFonts w:ascii="Times New Roman;Times;Serif" w:hAnsi="Times New Roman;Times;Serif"/>
          <w:sz w:val="20"/>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sz w:val="20"/>
          <w:u w:val="single"/>
        </w:rPr>
        <w:t>Money Laundering Laws</w:t>
      </w:r>
      <w:r>
        <w:rPr>
          <w:rFonts w:ascii="Times New Roman;Times;Serif" w:hAnsi="Times New Roman;Times;Serif"/>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(uu)            </w:t>
      </w:r>
      <w:r>
        <w:rPr>
          <w:rFonts w:ascii="Times New Roman;Times;Serif" w:hAnsi="Times New Roman;Times;Serif"/>
          <w:sz w:val="20"/>
          <w:u w:val="single"/>
        </w:rPr>
        <w:t>No Disqualification Events</w:t>
      </w:r>
      <w:r>
        <w:rPr>
          <w:rFonts w:ascii="Times New Roman;Times;Serif" w:hAnsi="Times New Roman;Times;Serif"/>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sz w:val="20"/>
          <w:u w:val="single"/>
        </w:rPr>
        <w:t>Issuer Covered Person</w:t>
      </w:r>
      <w:r>
        <w:rPr>
          <w:rFonts w:ascii="Times New Roman;Times;Serif" w:hAnsi="Times New Roman;Times;Serif"/>
          <w:sz w:val="20"/>
        </w:rPr>
        <w:t>” and, together, “</w:t>
      </w:r>
      <w:r>
        <w:rPr>
          <w:rFonts w:ascii="Times New Roman;Times;Serif" w:hAnsi="Times New Roman;Times;Serif"/>
          <w:sz w:val="20"/>
          <w:u w:val="single"/>
        </w:rPr>
        <w:t>Issuer Covered Persons</w:t>
      </w:r>
      <w:r>
        <w:rPr>
          <w:rFonts w:ascii="Times New Roman;Times;Serif" w:hAnsi="Times New Roman;Times;Serif"/>
          <w:sz w:val="20"/>
        </w:rPr>
        <w:t>”) is subject to any of the “Bad Actor” disqualifications described in Rule 506(d)(1)(i) to (viii) under the Securities Act (a “</w:t>
      </w:r>
      <w:r>
        <w:rPr>
          <w:rFonts w:ascii="Times New Roman;Times;Serif" w:hAnsi="Times New Roman;Times;Serif"/>
          <w:sz w:val="20"/>
          <w:u w:val="single"/>
        </w:rPr>
        <w:t>Disqualification Event”</w:t>
      </w:r>
      <w:r>
        <w:rPr>
          <w:rFonts w:ascii="Times New Roman;Times;Serif" w:hAnsi="Times New Roman;Times;Serif"/>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(vv)            </w:t>
      </w:r>
      <w:r>
        <w:rPr>
          <w:rFonts w:ascii="Times New Roman;Times;Serif" w:hAnsi="Times New Roman;Times;Serif"/>
          <w:sz w:val="20"/>
          <w:u w:val="single"/>
        </w:rPr>
        <w:t>Other Covered Persons</w:t>
      </w:r>
      <w:r>
        <w:rPr>
          <w:rFonts w:ascii="Times New Roman;Times;Serif" w:hAnsi="Times New Roman;Times;Serif"/>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(ww)         </w:t>
      </w:r>
      <w:r>
        <w:rPr>
          <w:rFonts w:ascii="Times New Roman;Times;Serif" w:hAnsi="Times New Roman;Times;Serif"/>
          <w:sz w:val="20"/>
          <w:u w:val="single"/>
        </w:rPr>
        <w:t>Notice of Disqualification Events</w:t>
      </w:r>
      <w:r>
        <w:rPr>
          <w:rFonts w:ascii="Times New Roman;Times;Serif" w:hAnsi="Times New Roman;Times;Serif"/>
          <w:sz w:val="20"/>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3.2       </w:t>
      </w:r>
      <w:r>
        <w:rPr>
          <w:rFonts w:ascii="Times New Roman;Times;Serif" w:hAnsi="Times New Roman;Times;Serif"/>
          <w:sz w:val="20"/>
          <w:u w:val="single"/>
        </w:rPr>
        <w:t>Representations and Warranties of the Purchasers</w:t>
      </w:r>
      <w:r>
        <w:rPr>
          <w:rFonts w:ascii="Times New Roman;Times;Serif" w:hAnsi="Times New Roman;Times;Serif"/>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Organization; Authority</w:t>
      </w:r>
      <w:r>
        <w:rPr>
          <w:rFonts w:ascii="Times New Roman;Times;Serif" w:hAnsi="Times New Roman;Times;Serif"/>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Own Account</w:t>
      </w:r>
      <w:r>
        <w:rPr>
          <w:rFonts w:ascii="Times New Roman;Times;Serif" w:hAnsi="Times New Roman;Times;Serif"/>
          <w:sz w:val="20"/>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Purchaser Status</w:t>
      </w:r>
      <w:r>
        <w:rPr>
          <w:rFonts w:ascii="Times New Roman;Times;Serif" w:hAnsi="Times New Roman;Times;Serif"/>
          <w:sz w:val="20"/>
        </w:rPr>
        <w:t>. At the time such Purchaser was offered the Securities, it was, and as of the date hereof it is, and on each date on which it converts any Debentures or exercises any Warrants, it will be an “accredited investor” as defined in Rule 501(a)(1), (a)(2), (a)(3), (a)(7), (a)(8), (a)(9), (a)(12), or (a)(13) under the Securities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Experience of Such Purchaser</w:t>
      </w:r>
      <w:r>
        <w:rPr>
          <w:rFonts w:ascii="Times New Roman;Times;Serif" w:hAnsi="Times New Roman;Times;Serif"/>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General Solicitation</w:t>
      </w:r>
      <w:r>
        <w:rPr>
          <w:rFonts w:ascii="Times New Roman;Times;Serif" w:hAnsi="Times New Roman;Times;Serif"/>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Access to Information</w:t>
      </w:r>
      <w:r>
        <w:rPr>
          <w:rFonts w:ascii="Times New Roman;Times;Serif" w:hAnsi="Times New Roman;Times;Serif"/>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Certain Transactions and Confidentiality</w:t>
      </w:r>
      <w:r>
        <w:rPr>
          <w:rFonts w:ascii="Times New Roman;Times;Serif" w:hAnsi="Times New Roman;Times;Serif"/>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preclude any actions, with respect to the locating or borrowing of, arrangement to borrow, identification of the availability of, and/or securing of, securities of the Company shares in order for such Purchaser (or its broker or other financial representative) to effect Short Sales or similar transactions in the future.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 Group; Independent Investment Decision</w:t>
      </w:r>
      <w:r>
        <w:rPr>
          <w:rFonts w:ascii="Times New Roman;Times;Serif" w:hAnsi="Times New Roman;Times;Serif"/>
          <w:sz w:val="20"/>
        </w:rPr>
        <w:t>. Such Purchaser represents and warrants, solely as to itself and not as to any other Purchaser, that such Purchaser has independently evaluated the merits and risks of its investment in the Securities and has independently made its own decision to enter into the Transaction Documents and purchase the Securities. Such Purchaser is not purchasing the Securities with any agreement, arrangement or understanding with any other Purchaser to acquire, hold, vote or dispose of any securities of the Company for the purpose of forming a “group” within the meaning of Section 13(d)(3) of the Exchange Act. For the avoidance of doubt, the foregoing shall not restrict communications with the Company, the Placement Agent, counsel or other advisors in connection with the negotiation, execution and consummation of the transactions contemplated by the Transaction Documents, nor shall the fact that the Purchasers are receiving substantially the same Transaction Documents, substantially the same economic terms or rights under the Transaction Documents, in and of itself, be deemed to constitute the Purchasers as a “group” within the meaning of Section 13(d)(3) of the Exchange Act.</w:t>
      </w:r>
    </w:p>
    <w:p>
      <w:pPr>
        <w:pStyle w:val="TextBody"/>
        <w:bidi w:val="0"/>
        <w:jc w:val="both"/>
        <w:rPr>
          <w:rFonts w:ascii="Times New Roman;Times;Serif" w:hAnsi="Times New Roman;Times;Serif"/>
          <w:sz w:val="20"/>
        </w:rPr>
      </w:pPr>
      <w:r>
        <w:rPr>
          <w:rFonts w:ascii="Times New Roman;Times;Serif" w:hAnsi="Times New Roman;Times;Serif"/>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283"/>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OTHER AGREEMENTS OF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4.1       </w:t>
      </w:r>
      <w:r>
        <w:rPr>
          <w:rFonts w:ascii="Times New Roman;Times;Serif" w:hAnsi="Times New Roman;Times;Serif"/>
          <w:sz w:val="20"/>
          <w:u w:val="single"/>
        </w:rPr>
        <w:t>Transfer Restrictions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The Purchasers agree to the imprinting, so long as is required by this Section 4.1, of a legend on any of the Securities in the following form: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Certificates evidencing the Underlying Shares and the Warrant Shares shall not contain any legend (including the legend set forth in Section 4.1(b) hereof): (i) while a registration statement (including the Registration Statement) covering the resale of such security is effective under the Securities Act, (ii) following any sale of such Underlying Shares or the Warrant Shares pursuant to Rule 144 (assuming cashless exercise of the Warrants), (iii) if such Underlying Shares or Warrant Shares are eligible for sale under Rule 144 (assuming cashless exercise of the Warrants), without the requirement for the Company to be in compliance with the current public information required under Rule 144 as to such Underlying Shares and Warrant Shares and without volume or manner-of-sale restrictions or (iv) if such legend is not required under applicable requirements of the Securities Act (including judicial interpretations and pronouncements issued by the staff of the Commission). The Company shall at its expense cause its counsel to issue a legal opinion to the Transfer Agent or the Purchaser promptly after the Effective Date if required by the Transfer Agent to effect the removal of the legend hereunder, or if requested by a Purchaser, respectively. If all or any portion of a Debenture are converted, or if all or any portion of a Warrant is exercised, at a time when there is an effective registration statement to cover the resale of the Underlying Shares or Warrant Shares, or if such Underlying Shares or Warrant Shares may be sold under Rule 144 and the Company is then in compliance with the current public information required under Rule 144 or such compliance is not required by Rule 144 (assuming cashless exercise of the Warrants), or if the Underlying Shares or Warrant Shares may be sold under Rule 144 without the requirement for the Company to be in compliance with the current public information required under Rule 144 as to such Underlying Shares or Warrant Shares and without volume or manner-of-sale restrictions or if such legend is not otherwise required under applicable requirements of the Securities Act (including judicial interpretations and pronouncements issued by the staff of the Commission) then such Underlying Shares or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Underlying Shares or Warrant Shares, as applicable, issued with a restrictive legend (such date, the “</w:t>
      </w:r>
      <w:r>
        <w:rPr>
          <w:rFonts w:ascii="Times New Roman;Times;Serif" w:hAnsi="Times New Roman;Times;Serif"/>
          <w:sz w:val="20"/>
          <w:u w:val="single"/>
        </w:rPr>
        <w:t>Legend Removal Date</w:t>
      </w:r>
      <w:r>
        <w:rPr>
          <w:rFonts w:ascii="Times New Roman;Times;Serif" w:hAnsi="Times New Roman;Times;Serif"/>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or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a certificate representing Underlying Shares or Warrant Shares, as applicable, issued with a restrictive legend.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In addition to such Purchaser’s other available remedies, the Company shall pay to a Purchaser, in cash, (i) as partial liquidated damages and not as a penalty, for each $1,000 of Underlying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val="false"/>
          <w:sz w:val="20"/>
          <w:u w:val="single"/>
        </w:rPr>
        <w:t>Buy-In Price</w:t>
      </w:r>
      <w:r>
        <w:rPr>
          <w:rFonts w:ascii="Times New Roman;Times;Serif" w:hAnsi="Times New Roman;Times;Serif"/>
          <w:sz w:val="20"/>
        </w:rPr>
        <w:t>”) over the product of (x) such number of Underlying Shares or Warrant Shares that the Company was required to deliver to such Purchaser by the Legend Removal Date multiplied by (y) the lowest closing sale price of the Common Stock on any Trading Day during the period commencing on the date of the delivery by such Purchaser to the Company of the applicable Underlying Shares or Warrant Shares (as the case may be) and ending on the date of such delivery and payment under this clause (ii).</w:t>
        <w:tab/>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 The Company acknowledges that if a Purchaser effects a cashless exercise of the Warrants, the holding period of the Warrant Shares issued as a result shall be August 21, 2026. The Company agrees that it shall not take a position contrary to the preceding sentence.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4.2       </w:t>
      </w:r>
      <w:r>
        <w:rPr>
          <w:rFonts w:ascii="Times New Roman;Times;Serif" w:hAnsi="Times New Roman;Times;Serif"/>
          <w:sz w:val="20"/>
          <w:u w:val="single"/>
        </w:rPr>
        <w:t>Acknowledgment of Dilution</w:t>
      </w:r>
      <w:r>
        <w:rPr>
          <w:rFonts w:ascii="Times New Roman;Times;Serif" w:hAnsi="Times New Roman;Times;Serif"/>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Shares pursuant to the Transaction Documents, are binding obligations of the Company, subject in all cases to the terms and conditions of the Transaction Documents, and, where applicable, to the Company’s receipt of Shareholder Approval, the availability of a sufficient number of authorized and unissued shares of Common Stock, the beneficial ownership limitations set forth in the Transaction Documents, any Issuable Maximum or similar limitation set forth in the Transaction Documents, the rules and regulations of the Trading Market, and applicable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4.3       </w:t>
      </w:r>
      <w:r>
        <w:rPr>
          <w:rFonts w:ascii="Times New Roman;Times;Serif" w:hAnsi="Times New Roman;Times;Serif"/>
          <w:sz w:val="20"/>
          <w:u w:val="single"/>
        </w:rPr>
        <w:t>Furnishing of Information; Public Information</w:t>
      </w:r>
      <w:r>
        <w:rPr>
          <w:rFonts w:ascii="Times New Roman;Times;Serif" w:hAnsi="Times New Roman;Times;Serif"/>
          <w:sz w:val="20"/>
        </w:rPr>
        <w: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(a)        Until the earlier of the time that (i) no Purchaser owns Securities or (ii) the Warrants have expired, the Company covenants to maintain the registration of the Common Stock under Section 12(b) or 12(g) of the Exchange Act and to use commercially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(b)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sz w:val="20"/>
          <w:u w:val="single"/>
        </w:rPr>
        <w:t>Public Information Failure</w:t>
      </w:r>
      <w:r>
        <w:rPr>
          <w:rFonts w:ascii="Times New Roman;Times;Serif" w:hAnsi="Times New Roman;Times;Serif"/>
          <w:sz w:val="20"/>
        </w:rPr>
        <w:t>”) and such Public Information Failure continues for three (3) Trading Days after written notice thereof from a Purchaser, then the Company shall pay to a Purchaser, in cash, as partial liquidated damages and not as a penalty, by reason of any such delay in or reduction of its ability to sell the Securities, an amount in cash equal to one percent (1.0%) of the aggregate Subscription Amount of such Purchaser’s Securities then held by such Purchaser on the day of a Public Information Failure and on every thirtieth (30</w:t>
      </w:r>
      <w:r>
        <w:rPr>
          <w:rFonts w:ascii="Times New Roman;Times;Serif" w:hAnsi="Times New Roman;Times;Serif"/>
          <w:position w:val="7"/>
          <w:sz w:val="16"/>
          <w:sz w:val="20"/>
        </w:rPr>
        <w:t>th</w:t>
      </w:r>
      <w:r>
        <w:rPr>
          <w:rFonts w:ascii="Times New Roman;Times;Serif" w:hAnsi="Times New Roman;Times;Serif"/>
          <w:sz w:val="20"/>
        </w:rPr>
        <w:t>) day (pro rated for periods totaling less than thirty days) thereafter until the earlier of (a) the date such Public Information Failure is cured and (b) such time that such public information is no longer required  for the Purchasers to transfer the Underlying Shares and Warrant Shares pursuant to Rule 144.  The payments to which a Purchaser shall be entitled pursuant to this Section 4.3(b) are referred to herein as “</w:t>
      </w:r>
      <w:r>
        <w:rPr>
          <w:rFonts w:ascii="Times New Roman;Times;Serif" w:hAnsi="Times New Roman;Times;Serif"/>
          <w:sz w:val="20"/>
          <w:u w:val="single"/>
        </w:rPr>
        <w:t>Public Information Failure Payments</w:t>
      </w:r>
      <w:r>
        <w:rPr>
          <w:rFonts w:ascii="Times New Roman;Times;Serif" w:hAnsi="Times New Roman;Times;Serif"/>
          <w:sz w:val="20"/>
        </w:rPr>
        <w:t>.”  Notwithstanding anything to the contrary herein or in any other Transaction Document, (x) the aggregate Public Information Failure Payments payable to any Purchaser under this Section 4.3(b), together with any liquidated damages, registration delay payments or similar amounts payable to such Purchaser under the Registration Rights Agreement with respect to the same or any overlapping period or underlying failure, shall not exceed five percent 5.0% of the aggregate Subscription Amount of such Purchaser’s Securities affected by such failure, (y) no Public Information Failure Payments shall accrue or be payable under this Section 4.3(b) for any period for which liquidated damages, registration delay payments or similar amounts are accruing or payable to such Purchaser under the Registration Rights Agreement with respect to the same or any overlapping period or underlying failure, and (z) in no event shall the Company be required to make duplicative payments under this Agreement and the Registration Rights Agreement with respect to the same or any overlapping period or underlying failure. Public Information Failure Payments shall be paid on the earlier of (i) the last day of the calendar month during which such Public Information Failure Payments are incurred and (ii) the third (3</w:t>
      </w:r>
      <w:r>
        <w:rPr>
          <w:rFonts w:ascii="Times New Roman;Times;Serif" w:hAnsi="Times New Roman;Times;Serif"/>
          <w:position w:val="7"/>
          <w:sz w:val="16"/>
          <w:sz w:val="20"/>
        </w:rPr>
        <w:t>rd</w:t>
      </w:r>
      <w:r>
        <w:rPr>
          <w:rFonts w:ascii="Times New Roman;Times;Serif" w:hAnsi="Times New Roman;Times;Serif"/>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the lesser of one percent (1.0%) per month and the Maximum Rate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4.4       </w:t>
      </w:r>
      <w:r>
        <w:rPr>
          <w:rFonts w:ascii="Times New Roman;Times;Serif" w:hAnsi="Times New Roman;Times;Serif"/>
          <w:sz w:val="20"/>
          <w:u w:val="single"/>
        </w:rPr>
        <w:t>Integration</w:t>
      </w:r>
      <w:r>
        <w:rPr>
          <w:rFonts w:ascii="Times New Roman;Times;Serif" w:hAnsi="Times New Roman;Times;Serif"/>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4.5       </w:t>
      </w:r>
      <w:r>
        <w:rPr>
          <w:rFonts w:ascii="Times New Roman;Times;Serif" w:hAnsi="Times New Roman;Times;Serif"/>
          <w:sz w:val="20"/>
          <w:u w:val="single"/>
        </w:rPr>
        <w:t>Conversion and Exercise Procedures</w:t>
      </w:r>
      <w:r>
        <w:rPr>
          <w:rFonts w:ascii="Times New Roman;Times;Serif" w:hAnsi="Times New Roman;Times;Serif"/>
          <w:sz w:val="20"/>
        </w:rPr>
        <w:t>. The form of Notice of Conversion included in the Debenture, sets forth the totality of the procedures required of the Purchasers in order to convert the Debentures. The form of Notice of Exercise included in the Warrant sets forth the totality of the procedures required of the Purchasers in order to exercise the Warrant. Without limiting the preceding sentences, no ink-original Notice of Conversion or Notice of Exercise, as applicable, shall be required, nor shall any medallion guarantee (or other type of guarantee or notarization) of any Notice of Conversion and Notice of Exercise, as applicable, form be required in order to convert the Debentures or exercise the Warrant, as applicable. No additional legal opinion, other information or instructions shall be required of the Purchasers to convert their Debentures or exercise their Warrants. The Company shall honor conversions of the Debentures or exercises of the Warrants and shall deliver Underlying Shares or Warrant Shares, as applicable, in accordance with the terms, conditions and time periods set forth in the Transaction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4.6       </w:t>
      </w:r>
      <w:r>
        <w:rPr>
          <w:rFonts w:ascii="Times New Roman;Times;Serif" w:hAnsi="Times New Roman;Times;Serif"/>
          <w:sz w:val="20"/>
          <w:u w:val="single"/>
        </w:rPr>
        <w:t>Securities Laws Disclosure; Publicity</w:t>
      </w:r>
      <w:r>
        <w:rPr>
          <w:rFonts w:ascii="Times New Roman;Times;Serif" w:hAnsi="Times New Roman;Times;Serif"/>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For the avoidance of doubt, the foregoing shall not terminate, waive or otherwise limit any confidentiality, non-disclosure, fiduciary, insider trading, information barrier, corporate policy or similar obligation applicable to any Purchaser or any of its Affiliates, representatives or related persons under any written agreement with the Company, applicable law, the Transaction Documents, any Company policy applicable to such Person, or any other duty or obligation applicable to such Person by virtue of such Person’s relationship with the Company. The Company understands and confirms that each Purchaser shall be relying on the foregoing covenant in effecting transactions in securities of the Company. The Company shall consult the Purchasers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4.7       </w:t>
      </w:r>
      <w:r>
        <w:rPr>
          <w:rFonts w:ascii="Times New Roman;Times;Serif" w:hAnsi="Times New Roman;Times;Serif"/>
          <w:sz w:val="20"/>
          <w:u w:val="single"/>
        </w:rPr>
        <w:t>Shareholder Rights Plan</w:t>
      </w:r>
      <w:r>
        <w:rPr>
          <w:rFonts w:ascii="Times New Roman;Times;Serif" w:hAnsi="Times New Roman;Times;Serif"/>
          <w:sz w:val="20"/>
        </w:rPr>
        <w:t>. No claim will be made or enforced by the Company or, with the consent of the Company, any other Person, that any Purchaser is an “</w:t>
      </w:r>
      <w:r>
        <w:rPr>
          <w:rFonts w:ascii="Times New Roman;Times;Serif" w:hAnsi="Times New Roman;Times;Serif"/>
          <w:sz w:val="20"/>
          <w:u w:val="single"/>
        </w:rPr>
        <w:t>Acquiring Person</w:t>
      </w:r>
      <w:r>
        <w:rPr>
          <w:rFonts w:ascii="Times New Roman;Times;Serif" w:hAnsi="Times New Roman;Times;Serif"/>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4.8        </w:t>
      </w:r>
      <w:r>
        <w:rPr>
          <w:rFonts w:ascii="Times New Roman;Times;Serif" w:hAnsi="Times New Roman;Times;Serif"/>
          <w:sz w:val="20"/>
          <w:u w:val="single"/>
        </w:rPr>
        <w:t>Non-Public Information</w:t>
      </w:r>
      <w:r>
        <w:rPr>
          <w:rFonts w:ascii="Times New Roman;Times;Serif" w:hAnsi="Times New Roman;Times;Serif"/>
          <w:sz w:val="20"/>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and to comply with applicable securities laws and any applicable trading restrictions with respect thereto. The Company understands and confirms that each Purchaser shall be relying on the foregoing covenant in effecting transactions in securities of the Company. No provision of this Agreement or any other Transaction Document shall be deemed to authorize any Purchaser or any of its Affiliates, representatives or related persons to trade in securities of the Company while in possession of material non-public information or to limit any confidentiality, non-disclosure, fiduciary, insider trading, information barrier, corporate policy or similar obligation applicable to such Person under any written agreement with the Company, applicable law, the Transaction Documents, any Company policy applicable to such Person, or any other duty or obligation applicable to such Person by virtue of such Person’s relationship with the Company.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to the extent required by applicable law and Regulation FD. The Company understands and confirms that each Purchaser shall be relying on the foregoing covenant in effecting transactions in securities of the Company.</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4.9       </w:t>
      </w:r>
      <w:r>
        <w:rPr>
          <w:rFonts w:ascii="Times New Roman;Times;Serif" w:hAnsi="Times New Roman;Times;Serif"/>
          <w:sz w:val="20"/>
          <w:u w:val="single"/>
        </w:rPr>
        <w:t>Use of Proceeds</w:t>
      </w:r>
      <w:r>
        <w:rPr>
          <w:rFonts w:ascii="Times New Roman;Times;Serif" w:hAnsi="Times New Roman;Times;Serif"/>
          <w:sz w:val="20"/>
        </w:rPr>
        <w:t>. The Company shall use the net proceeds from the sale of the Securities hereunder for general corporate purposes (which may include acquisitions, in the Company’s discretion), including working capital. The Company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4.10       </w:t>
      </w:r>
      <w:r>
        <w:rPr>
          <w:rFonts w:ascii="Times New Roman;Times;Serif" w:hAnsi="Times New Roman;Times;Serif"/>
          <w:sz w:val="20"/>
          <w:u w:val="single"/>
        </w:rPr>
        <w:t>Indemnification of Purchasers</w:t>
      </w:r>
      <w:r>
        <w:rPr>
          <w:rFonts w:ascii="Times New Roman;Times;Serif" w:hAnsi="Times New Roman;Times;Serif"/>
          <w:sz w:val="20"/>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sz w:val="20"/>
          <w:u w:val="single"/>
        </w:rPr>
        <w:t>Purchaser Party</w:t>
      </w:r>
      <w:r>
        <w:rPr>
          <w:rFonts w:ascii="Times New Roman;Times;Serif" w:hAnsi="Times New Roman;Times;Serif"/>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4.11       </w:t>
      </w:r>
      <w:r>
        <w:rPr>
          <w:rFonts w:ascii="Times New Roman;Times;Serif" w:hAnsi="Times New Roman;Times;Serif"/>
          <w:sz w:val="20"/>
          <w:u w:val="single"/>
        </w:rPr>
        <w:t>Reservation and Listing of Securities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(a)                The Company shall reserve and maintain reserved from its duly authorized shares of Common Stock the maximum number of shares of Common Stock currently available for issuance pursuant to the Transaction Documents and, from and after the date on which the Company has sufficient authorized and unissued shares of Common Stock available therefor, including following receipt of the Shareholder Approval and the effectiveness of any related amendment to the Company’s articles of incorporation, shall reserve and maintain reserved the Required Minimum for issuance pursuant to the Transaction Documents. If at any time the Company does not have a sufficient number of authorized and unissued shares of Common Stock available to reserve the Required Minimum, the Company shall use commercially reasonable efforts to obtain the Shareholder Approval and take such other corporate action as necessary to increase its authorized shares of Common Stock or otherwise make a sufficient number of shares of Common Stock available for issuance pursuant to the Transaction Documents.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If, on any date, the number of authorized but unissued (and otherwise unreserved) shares of Common Stock is less than 100% of (i) the Required Minimum on such date, minus (ii) the number of shares of Common Stock previously issued pursuant to the Transaction Documents, then the Board of Directors shall use commercially reasonable efforts to take all corporate action reasonably necessary to seek any approval of the Company’s stockholders required under Nevada law and, following receipt of such approval, to cause the Company’s articles of incorporation to be amended to increase the number of authorized shares of Common Stock to an amount sufficient to permit the Company to reserve the Required Minimum at such time, minus the number of shares of Common Stock previously issued pursuant to the Transaction Documents, in each case as soon as reasonably practicable; provided, however, that if stockholder approval is required for any such amendment, the Company shall not be required to effect such amendment unless and until such approval has been obtained and deemed effective under applicable law, provided that the Company will not be required at any time to authorize a number of shares of Common Stock greater than the maximum remaining number of shares of Common Stock that could possibly be issued after such time pursuant to the Transaction Documents.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 special meeting of shareholders (which may also be at the annual meeting of shareholders) at the earliest practical date for the purpose of obtaining Shareholder Approval, with the recommendation of the Board of Directors that such proposal be approved, and the Company shall solicit proxies from its shareholders in connection therewith in the same manner as all other management proposals in such proxy statement, and the management-appointed proxyholders shall vote all proxies received in accordance with the instructions of the applicable shareholders and, to the extent permitted by applicable law and the applicable proxy materials, shall vote uninstructed proxies in favor of such proposal. The Company shall use its reasonable best efforts to obtain such Shareholder Approval. If the Company does not obtain Shareholder Approval at the first meeting, the Company shall call a meeting every six (6) months thereafter to seek Shareholder Approval until the earlier of the date the Shareholder Approval is obtained and the date on which no Debentures remain outstanding. The Company’s failure to obtain Shareholder Approval following compliance with this Section 4.11(c) shall not constitute a breach of this Agreement.</w:t>
      </w:r>
    </w:p>
    <w:p>
      <w:pPr>
        <w:pStyle w:val="TextBody"/>
        <w:bidi w:val="0"/>
        <w:spacing w:before="0" w:after="283"/>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4.12       </w:t>
      </w:r>
      <w:r>
        <w:rPr>
          <w:rFonts w:ascii="Times New Roman;Times;Serif" w:hAnsi="Times New Roman;Times;Serif"/>
          <w:sz w:val="20"/>
          <w:u w:val="single"/>
        </w:rPr>
        <w:t>Participation in Future Financing</w:t>
      </w:r>
      <w:r>
        <w:rPr>
          <w:rFonts w:ascii="Times New Roman;Times;Serif" w:hAnsi="Times New Roman;Times;Serif"/>
          <w:sz w:val="20"/>
        </w:rPr>
        <w:t>.</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From the date hereof until the date that is the twelve (12)-month anniversary of the later of the Effective Date or the date of Shareholder Approval, upon any issuance by the Company or any of its Subsidiaries of Common Stock or Common Stock Equivalents for cash consideration, Indebtedness or a combination of units thereof (a “</w:t>
      </w:r>
      <w:r>
        <w:rPr>
          <w:rFonts w:ascii="Times New Roman;Times;Serif" w:hAnsi="Times New Roman;Times;Serif"/>
          <w:sz w:val="20"/>
          <w:u w:val="single"/>
        </w:rPr>
        <w:t>Subsequent Financing</w:t>
      </w:r>
      <w:r>
        <w:rPr>
          <w:rFonts w:ascii="Times New Roman;Times;Serif" w:hAnsi="Times New Roman;Times;Serif"/>
          <w:sz w:val="20"/>
        </w:rPr>
        <w:t>”), each Purchaser shall have the right to participate in up to an amount of the Subsequent Financing equal to 33% of the Subsequent Financing (the “</w:t>
      </w:r>
      <w:r>
        <w:rPr>
          <w:rFonts w:ascii="Times New Roman;Times;Serif" w:hAnsi="Times New Roman;Times;Serif"/>
          <w:sz w:val="20"/>
          <w:u w:val="single"/>
        </w:rPr>
        <w:t>Participation Maximum</w:t>
      </w:r>
      <w:r>
        <w:rPr>
          <w:rFonts w:ascii="Times New Roman;Times;Serif" w:hAnsi="Times New Roman;Times;Serif"/>
          <w:sz w:val="20"/>
        </w:rPr>
        <w:t>”) on the same terms, conditions and price provided for in the Subsequent Financing.</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At least five (5) Trading Days prior to the closing of the Subsequent Financing, the Company shall deliver to each Purchaser a written notice of its intention to effect a Subsequent Financing (“</w:t>
      </w:r>
      <w:r>
        <w:rPr>
          <w:rFonts w:ascii="Times New Roman;Times;Serif" w:hAnsi="Times New Roman;Times;Serif"/>
          <w:sz w:val="20"/>
          <w:u w:val="single"/>
        </w:rPr>
        <w:t>Pre-Notice</w:t>
      </w:r>
      <w:r>
        <w:rPr>
          <w:rFonts w:ascii="Times New Roman;Times;Serif" w:hAnsi="Times New Roman;Times;Serif"/>
          <w:sz w:val="20"/>
        </w:rPr>
        <w:t>”), which Pre-Notice shall ask such Purchaser if it wants to review the details of such financing (such additional notice, a “</w:t>
      </w:r>
      <w:r>
        <w:rPr>
          <w:rFonts w:ascii="Times New Roman;Times;Serif" w:hAnsi="Times New Roman;Times;Serif"/>
          <w:sz w:val="20"/>
          <w:u w:val="single"/>
        </w:rPr>
        <w:t>Subsequent Financing Notice</w:t>
      </w:r>
      <w:r>
        <w:rPr>
          <w:rFonts w:ascii="Times New Roman;Times;Serif" w:hAnsi="Times New Roman;Times;Serif"/>
          <w:sz w:val="20"/>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(c)                Any Purchaser desiring to participate in such Subsequent Financing must provide written notice to the Company by not later than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fifth (5</w:t>
      </w:r>
      <w:r>
        <w:rPr>
          <w:rFonts w:ascii="Times New Roman;Times;Serif" w:hAnsi="Times New Roman;Times;Serif"/>
          <w:position w:val="7"/>
          <w:sz w:val="16"/>
          <w:sz w:val="20"/>
        </w:rPr>
        <w:t>th</w:t>
      </w:r>
      <w:r>
        <w:rPr>
          <w:rFonts w:ascii="Times New Roman;Times;Serif" w:hAnsi="Times New Roman;Times;Serif"/>
          <w:sz w:val="20"/>
        </w:rPr>
        <w:t>) Trading Day, such Purchaser shall be deemed to have notified the Company that it does not elect to participate.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by 5:30 p.m. (New York City time) on the fifth (5</w:t>
      </w:r>
      <w:r>
        <w:rPr>
          <w:rFonts w:ascii="Times New Roman;Times;Serif" w:hAnsi="Times New Roman;Times;Serif"/>
          <w:position w:val="7"/>
          <w:sz w:val="16"/>
          <w:sz w:val="20"/>
        </w:rPr>
        <w:t>th</w:t>
      </w:r>
      <w:r>
        <w:rPr>
          <w:rFonts w:ascii="Times New Roman;Times;Serif" w:hAnsi="Times New Roman;Times;Serif"/>
          <w:sz w:val="20"/>
        </w:rPr>
        <w:t>)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Times New Roman;Times;Serif" w:hAnsi="Times New Roman;Times;Serif"/>
          <w:sz w:val="20"/>
          <w:u w:val="single"/>
        </w:rPr>
        <w:t>Pro Rata Portion</w:t>
      </w:r>
      <w:r>
        <w:rPr>
          <w:rFonts w:ascii="Times New Roman;Times;Serif" w:hAnsi="Times New Roman;Times;Serif"/>
          <w:sz w:val="20"/>
        </w:rPr>
        <w:t>” means the ratio of (x) the Subscription Amount of Securities purchased on the First Closing Date by a Purchaser participating under this Section 4.12 and (y) the sum of the aggregate Subscription Amounts of Securities purchased on the First Closing Date by all Purchasers participating under this Section 4.12.</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The Company must provide the Purchasers with a second Subsequent Financing Notice, and the Purchasers will again have the right of participation set forth above in this Section 4.12, if the Subsequent Financing subject to the initial Subsequent Financing Notice is not consummated for any reason on the terms set forth in such Subsequent Financing Notice within thirty (30) Trading Days after the date of the initial Subsequent Financing Notice.</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The Company and each Purchaser agree that if any Purchaser elects to participate in the Subsequent Financing, the transaction documents related to the Subsequent Financing shall not include any term or provision that, directly or indirectly, will, or is intended to, exclude one or more of the Purchasers from participating in a Subsequent Financing, including, but not limited to, provisions whereby such Purchaser shall be required to agree to any restrictions on trading as to any securities of the Company or be required to consent to any amendment to or termination of, or grant any waiver, release or the like under or in connection with, this Agreement, without the prior written consent of such Purchaser.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the tenth (10th) Business Day following delivery of the Subsequent Financing Notice. If by such tenth (10th)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Notwithstanding the foregoing, this Section 4.12 shall not apply in respect of an Exempt Issuance.</w:t>
        <w:tab/>
      </w:r>
    </w:p>
    <w:p>
      <w:pPr>
        <w:pStyle w:val="TextBody"/>
        <w:bidi w:val="0"/>
        <w:ind w:left="720" w:right="0" w:hanging="0"/>
        <w:jc w:val="both"/>
        <w:rPr/>
      </w:pPr>
      <w:r>
        <w:rPr/>
        <w:t> </w:t>
      </w:r>
    </w:p>
    <w:p>
      <w:pPr>
        <w:pStyle w:val="TextBody"/>
        <w:bidi w:val="0"/>
        <w:ind w:left="0" w:right="0" w:firstLine="630"/>
        <w:jc w:val="both"/>
        <w:rPr>
          <w:rFonts w:ascii="Times New Roman;Times;Serif" w:hAnsi="Times New Roman;Times;Serif"/>
          <w:sz w:val="20"/>
        </w:rPr>
      </w:pPr>
      <w:r>
        <w:rPr>
          <w:rFonts w:ascii="Times New Roman;Times;Serif" w:hAnsi="Times New Roman;Times;Serif"/>
          <w:sz w:val="20"/>
        </w:rPr>
        <w:t>4.13       </w:t>
      </w:r>
      <w:r>
        <w:rPr>
          <w:rFonts w:ascii="Times New Roman;Times;Serif" w:hAnsi="Times New Roman;Times;Serif"/>
          <w:sz w:val="20"/>
          <w:u w:val="single"/>
        </w:rPr>
        <w:t>Subsequent Equity Sales</w:t>
      </w:r>
      <w:r>
        <w:rPr>
          <w:rFonts w:ascii="Times New Roman;Times;Serif" w:hAnsi="Times New Roman;Times;Serif"/>
          <w:sz w:val="20"/>
        </w:rPr>
        <w:t>. From the date hereof until the later of the Effective Date and Shareholder Approval, the Company shall be prohibited from effecting or entering into an agreement to effect any issuance by the Company or any of its Subsidiaries of Common Stock or Common Stock Equivalents (or a combination of units thereof) involving a Variable Rate Transaction, other than in connection with an Exempt Issuance. “</w:t>
      </w:r>
      <w:r>
        <w:rPr>
          <w:rFonts w:ascii="Times New Roman;Times;Serif" w:hAnsi="Times New Roman;Times;Serif"/>
          <w:sz w:val="20"/>
          <w:u w:val="single"/>
        </w:rPr>
        <w:t>Variable Rate Transaction</w:t>
      </w:r>
      <w:r>
        <w:rPr>
          <w:rFonts w:ascii="Times New Roman;Times;Serif" w:hAnsi="Times New Roman;Times;Serif"/>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other than one or more at-the-market offerings at any time and in any amount notwithstanding clause (d) of the definition of Exempt Issuance. Any Purchaser shall be entitled to obtain injunctive relief against the Company to preclude any such issuance, which remedy shall be in addition to any right to collect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Purchaser shall be entitled to obtain injunctive relief or any other remedy with respect to any Exempt Issuance or any transaction, facility or arrangement expressly permitted by this Section 4.13. Notwithstanding the foregoing, this Section 4.13 shall not apply in respect of an Exempt Issuance, except that no Variable Rate Transaction shall be an Exempt Issuance (other than issuances pursuant to clause (d) of the definition of Exempt Issuance).</w:t>
      </w:r>
    </w:p>
    <w:p>
      <w:pPr>
        <w:pStyle w:val="TextBody"/>
        <w:bidi w:val="0"/>
        <w:ind w:left="0" w:right="0" w:firstLine="72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4.14           </w:t>
      </w:r>
      <w:r>
        <w:rPr>
          <w:rFonts w:ascii="Times New Roman;Times;Serif" w:hAnsi="Times New Roman;Times;Serif"/>
          <w:sz w:val="20"/>
          <w:u w:val="single"/>
        </w:rPr>
        <w:t>Equal Treatment of Purchasers</w:t>
      </w:r>
      <w:r>
        <w:rPr>
          <w:rFonts w:ascii="Times New Roman;Times;Serif" w:hAnsi="Times New Roman;Times;Serif"/>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4.15           </w:t>
      </w:r>
      <w:r>
        <w:rPr>
          <w:rFonts w:ascii="Times New Roman;Times;Serif" w:hAnsi="Times New Roman;Times;Serif"/>
          <w:sz w:val="20"/>
          <w:u w:val="single"/>
        </w:rPr>
        <w:t>Certain Transactions and Confidentiality</w:t>
      </w:r>
      <w:r>
        <w:rPr>
          <w:rFonts w:ascii="Times New Roman;Times;Serif" w:hAnsi="Times New Roman;Times;Serif"/>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4.6.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4.16           </w:t>
      </w:r>
      <w:r>
        <w:rPr>
          <w:rFonts w:ascii="Times New Roman;Times;Serif" w:hAnsi="Times New Roman;Times;Serif"/>
          <w:sz w:val="20"/>
          <w:u w:val="single"/>
        </w:rPr>
        <w:t>Form D; Blue Sky Filings</w:t>
      </w:r>
      <w:r>
        <w:rPr>
          <w:rFonts w:ascii="Times New Roman;Times;Serif" w:hAnsi="Times New Roman;Times;Serif"/>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4.17           </w:t>
      </w:r>
      <w:r>
        <w:rPr>
          <w:rFonts w:ascii="Times New Roman;Times;Serif" w:hAnsi="Times New Roman;Times;Serif"/>
          <w:sz w:val="20"/>
          <w:u w:val="single"/>
        </w:rPr>
        <w:t>Additional Investment Right</w:t>
      </w:r>
      <w:r>
        <w:rPr>
          <w:rFonts w:ascii="Times New Roman;Times;Serif" w:hAnsi="Times New Roman;Times;Serif"/>
          <w:sz w:val="20"/>
        </w:rPr>
        <w:t>. Subject to the Company’s receipt of Shareholder Approval, during the period ending eighteen (18) months following the Effective Date, each Purchaser, pro rata based on such Purchaser’s initial Subscription Amount relative to the aggregate initial Subscription Amounts of all Purchasers, shall have the right (the “</w:t>
      </w:r>
      <w:r>
        <w:rPr>
          <w:rFonts w:ascii="Times New Roman;Times;Serif" w:hAnsi="Times New Roman;Times;Serif"/>
          <w:sz w:val="20"/>
          <w:u w:val="single"/>
        </w:rPr>
        <w:t>Additional Investment Right</w:t>
      </w:r>
      <w:r>
        <w:rPr>
          <w:rFonts w:ascii="Times New Roman;Times;Serif" w:hAnsi="Times New Roman;Times;Serif"/>
          <w:sz w:val="20"/>
        </w:rPr>
        <w:t>”), but not the obligation, upon written notice to the Company from time to time during such period, to purchase up to its pro rata portion of an aggregate of $91,000,000 of additional principal amount of convertible debentures of the Company (the “</w:t>
      </w:r>
      <w:r>
        <w:rPr>
          <w:rFonts w:ascii="Times New Roman;Times;Serif" w:hAnsi="Times New Roman;Times;Serif"/>
          <w:sz w:val="20"/>
          <w:u w:val="single"/>
        </w:rPr>
        <w:t>Additional Debentures</w:t>
      </w:r>
      <w:r>
        <w:rPr>
          <w:rFonts w:ascii="Times New Roman;Times;Serif" w:hAnsi="Times New Roman;Times;Serif"/>
          <w:sz w:val="20"/>
        </w:rPr>
        <w:t xml:space="preserve">”), or such lesser amount as may be available without violating applicable Trading Market rules, for a subscription amount equal to 100% of such principal amount.  The Additional Debentures shall be substantially in the form of the Debentures attached as </w:t>
      </w:r>
      <w:r>
        <w:rPr>
          <w:rFonts w:ascii="Times New Roman;Times;Serif" w:hAnsi="Times New Roman;Times;Serif"/>
          <w:sz w:val="20"/>
          <w:u w:val="single"/>
        </w:rPr>
        <w:t>Exhibit A</w:t>
      </w:r>
      <w:r>
        <w:rPr>
          <w:rFonts w:ascii="Times New Roman;Times;Serif" w:hAnsi="Times New Roman;Times;Serif"/>
          <w:sz w:val="20"/>
        </w:rPr>
        <w:t xml:space="preserve"> hereto, except that each Additional Debenture shall (i) have an original issue date equal to the applicable Additional Closing Date, (ii) reflect the initial Conversion Price calculated as set forth in this Section 4.17, and (iii) not include any provision of the Debentures permitting or requiring conversion at a price below the Floor Price. The initial Conversion Price of the first $10,000,000 in the aggregate of the Additional Debentures purchased by all Purchasers hereunder shall be equal to 150% of the initial Conversion Price of the Debentures issued at the First Closing and, thereafter, the Additional Debentures issuable pursuant to all subsequent exercises of the Additional Investment Right shall have an initial Conversion Price equal to the lower of (x) the initial Conversion Price of the Debentures issued at the First Closing, and (y) 90% of the arithmetic average of the three (3) lowest VWAPs during the five (5) Trading Days prior to the effective date of such Purchaser’s exercise of the Additional Investment Right, provided that the Conversion Price of the Additional Debentures shall not be less than the Floor Price. Each Additional Closing shall occur on the third (3rd) Trading Day following the Company’s receipt of the applicable exercise notice, or on such other date as the Company and the participating Purchaser may agree. The required deliverables for each Additional Closing of each purchase pursuant to the Additional Investment Right shall be (A) on behalf of the Company, the delivery of an Additional Debenture registered in the name of the participating Purchaser reflecting the subscription amount paid by such Purchaser for the Additional Debenture, and the deliverables set forth in Section 2.2(a)(viii) and (xii) hereof, and (B) on behalf of the participating Purchaser, delivery of the subscription amount for such Additional Debenture. The closing conditions for each purchase pursuant to the Additional Investment Right shall be the same as the conditions set forth in Section 2.3 hereof (subject to the prior sentence), as applicable to such additional purchase (the date of any such closing, an “</w:t>
      </w:r>
      <w:r>
        <w:rPr>
          <w:rFonts w:ascii="Times New Roman;Times;Serif" w:hAnsi="Times New Roman;Times;Serif"/>
          <w:sz w:val="20"/>
          <w:u w:val="single"/>
        </w:rPr>
        <w:t>Additional Closing Date</w:t>
      </w:r>
      <w:r>
        <w:rPr>
          <w:rFonts w:ascii="Times New Roman;Times;Serif" w:hAnsi="Times New Roman;Times;Serif"/>
          <w:sz w:val="20"/>
        </w:rPr>
        <w:t>”). The Additional Investment Right must be exercised with respect to a minimum of $1,000,000 by each participating Purchaser at each Additional Closing.  No Warrants shall be issuable in connection with any exercise of the Additional Investment Right. For the avoidance of doubt, on each Additional Closing Date, the Company shall issue new Additional Debentures, the terms of which shall be substantially similar to the amended and restated Debentures, except that (i) they shall reflect the Conversion Price for such Additional Debentures calculated as required hereunder and (ii) the provisions set forth in the last two sentences of Section 5(b) of the amended and restated Debenture relating to the conversion of the amended and restated Debenture at the “Applicable Conversion Price” shall not apply to any of the Additional Debentures, and such language shall not be included in any such Additional Debentures.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spacing w:before="120" w:after="120"/>
        <w:ind w:left="120" w:right="120" w:hanging="0"/>
        <w:jc w:val="center"/>
        <w:rPr>
          <w:rFonts w:ascii="Times New Roman;Times;Serif" w:hAnsi="Times New Roman;Times;Serif"/>
          <w:b/>
          <w:sz w:val="20"/>
        </w:rPr>
      </w:pPr>
      <w:r>
        <w:rPr>
          <w:rFonts w:ascii="Times New Roman;Times;Serif" w:hAnsi="Times New Roman;Times;Serif"/>
          <w:b/>
          <w:sz w:val="20"/>
        </w:rPr>
        <w:t>ARTICLE V.</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5.1       </w:t>
      </w:r>
      <w:r>
        <w:rPr>
          <w:rFonts w:ascii="Times New Roman;Times;Serif" w:hAnsi="Times New Roman;Times;Serif"/>
          <w:sz w:val="20"/>
          <w:u w:val="single"/>
        </w:rPr>
        <w:t>Termination</w:t>
      </w:r>
      <w:r>
        <w:rPr>
          <w:rFonts w:ascii="Times New Roman;Times;Serif" w:hAnsi="Times New Roman;Times;Serif"/>
          <w:sz w:val="20"/>
        </w:rPr>
        <w:t xml:space="preserve">.  The parties acknowledge that the First Closing occurred on August 21, 2026. This Agreement may not be terminated by any party;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any Purchaser may terminate its unexercised Additional Investment Right upon written notice to the Company, and no such termination will affect the right of any party to sue for any breach by any other party (or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5.2       </w:t>
      </w:r>
      <w:r>
        <w:rPr>
          <w:rFonts w:ascii="Times New Roman;Times;Serif" w:hAnsi="Times New Roman;Times;Serif"/>
          <w:sz w:val="20"/>
          <w:u w:val="single"/>
        </w:rPr>
        <w:t>Fees and Expenses</w:t>
      </w:r>
      <w:r>
        <w:rPr>
          <w:rFonts w:ascii="Times New Roman;Times;Serif" w:hAnsi="Times New Roman;Times;Serif"/>
          <w:sz w:val="20"/>
        </w:rPr>
        <w:t>. At the First Closing, the Company has agreed to reimburse Five Narrow Lane LP (“</w:t>
      </w:r>
      <w:r>
        <w:rPr>
          <w:rFonts w:ascii="Times New Roman;Times;Serif" w:hAnsi="Times New Roman;Times;Serif"/>
          <w:sz w:val="20"/>
          <w:u w:val="single"/>
        </w:rPr>
        <w:t>FNL</w:t>
      </w:r>
      <w:r>
        <w:rPr>
          <w:rFonts w:ascii="Times New Roman;Times;Serif" w:hAnsi="Times New Roman;Times;Serif"/>
          <w:sz w:val="20"/>
        </w:rPr>
        <w:t>”) the non-accountable sum of $75,000 for its legal fees and expenses. Accordingly, in lieu of the foregoing payments, the aggregate amount that FNL is to pay for its Securities at the First Closing shall be reduced by $75,000 in lieu thereof, prior receipt of which is hereby acknowledged by FNL. In addition, the Company shall reimburse one additional Purchaser for its reasonable and documented legal fees and expenses in an amount of up to $20,000, the aggregate amount that such additional Purchaser is to pay for its Securities at the First Closing shall be reduced by such amount in lieu thereof, prior receipt of which is hereby acknowledged.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5.3       </w:t>
      </w:r>
      <w:r>
        <w:rPr>
          <w:rFonts w:ascii="Times New Roman;Times;Serif" w:hAnsi="Times New Roman;Times;Serif"/>
          <w:sz w:val="20"/>
          <w:u w:val="single"/>
        </w:rPr>
        <w:t>Entire Agreement</w:t>
      </w:r>
      <w:r>
        <w:rPr>
          <w:rFonts w:ascii="Times New Roman;Times;Serif" w:hAnsi="Times New Roman;Times;Serif"/>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This Agreement amends, restates and supersedes the Original SPA in its entirety, and from and after the date hereof all references in the Transaction Documents to the “Purchase Agreement” or the “Securities Purchase Agreement” shall refer to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5.4       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position w:val="7"/>
          <w:sz w:val="16"/>
          <w:sz w:val="20"/>
        </w:rPr>
        <w:t>nd</w:t>
      </w:r>
      <w:r>
        <w:rPr>
          <w:rFonts w:ascii="Times New Roman;Times;Serif" w:hAnsi="Times New Roman;Times;Serif"/>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5.5       </w:t>
      </w:r>
      <w:r>
        <w:rPr>
          <w:rFonts w:ascii="Times New Roman;Times;Serif" w:hAnsi="Times New Roman;Times;Serif"/>
          <w:sz w:val="20"/>
          <w:u w:val="single"/>
        </w:rPr>
        <w:t>Amendments; Waivers</w:t>
      </w:r>
      <w:r>
        <w:rPr>
          <w:rFonts w:ascii="Times New Roman;Times;Serif" w:hAnsi="Times New Roman;Times;Serif"/>
          <w:sz w:val="20"/>
        </w:rPr>
        <w:t>. No provision of this Agreement may be waived, modified, supplemented or amended except in a written instrument signed, in the case of an amendment, by the Company and the Required Holders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5.6       </w:t>
      </w:r>
      <w:r>
        <w:rPr>
          <w:rFonts w:ascii="Times New Roman;Times;Serif" w:hAnsi="Times New Roman;Times;Serif"/>
          <w:sz w:val="20"/>
          <w:u w:val="single"/>
        </w:rPr>
        <w:t>Headings</w:t>
      </w:r>
      <w:r>
        <w:rPr>
          <w:rFonts w:ascii="Times New Roman;Times;Serif" w:hAnsi="Times New Roman;Times;Serif"/>
          <w:sz w:val="20"/>
        </w:rPr>
        <w:t>. The headings herein are for convenience only, do not constitute a part of this Agreement and shall not be deemed to limit or affect any of the provisions 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5.7       </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5.8       </w:t>
      </w:r>
      <w:r>
        <w:rPr>
          <w:rFonts w:ascii="Times New Roman;Times;Serif" w:hAnsi="Times New Roman;Times;Serif"/>
          <w:sz w:val="20"/>
          <w:u w:val="single"/>
        </w:rPr>
        <w:t>No Third-Party Beneficiaries</w:t>
      </w:r>
      <w:r>
        <w:rPr>
          <w:rFonts w:ascii="Times New Roman;Times;Serif" w:hAnsi="Times New Roman;Times;Serif"/>
          <w:sz w:val="20"/>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5.9       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5.10       </w:t>
      </w:r>
      <w:r>
        <w:rPr>
          <w:rFonts w:ascii="Times New Roman;Times;Serif" w:hAnsi="Times New Roman;Times;Serif"/>
          <w:sz w:val="20"/>
          <w:u w:val="single"/>
        </w:rPr>
        <w:t>Survival</w:t>
      </w:r>
      <w:r>
        <w:rPr>
          <w:rFonts w:ascii="Times New Roman;Times;Serif" w:hAnsi="Times New Roman;Times;Serif"/>
          <w:sz w:val="20"/>
        </w:rPr>
        <w:t>. The representations and warranties contained herein shall survive the Closing and the delivery of the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5.11       </w:t>
      </w:r>
      <w:r>
        <w:rPr>
          <w:rFonts w:ascii="Times New Roman;Times;Serif" w:hAnsi="Times New Roman;Times;Serif"/>
          <w:sz w:val="20"/>
          <w:u w:val="single"/>
        </w:rPr>
        <w:t>Execution</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5.12       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5.13       </w:t>
      </w:r>
      <w:r>
        <w:rPr>
          <w:rFonts w:ascii="Times New Roman;Times;Serif" w:hAnsi="Times New Roman;Times;Serif"/>
          <w:sz w:val="20"/>
          <w:u w:val="single"/>
        </w:rPr>
        <w:t>Rescission and Withdrawal Right</w:t>
      </w:r>
      <w:r>
        <w:rPr>
          <w:rFonts w:ascii="Times New Roman;Times;Serif" w:hAnsi="Times New Roman;Times;Serif"/>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case of a rescission of a conversion of a Debenture or exercise of a Warrant, the applicable Purchaser shall be required to return any shares of Common Stock subject to any such rescinded conversion or exercise, as the case may be.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5.14       </w:t>
      </w:r>
      <w:r>
        <w:rPr>
          <w:rFonts w:ascii="Times New Roman;Times;Serif" w:hAnsi="Times New Roman;Times;Serif"/>
          <w:sz w:val="20"/>
          <w:u w:val="single"/>
        </w:rPr>
        <w:t>Replacement of Securities</w:t>
      </w:r>
      <w:r>
        <w:rPr>
          <w:rFonts w:ascii="Times New Roman;Times;Serif" w:hAnsi="Times New Roman;Times;Serif"/>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5.15       </w:t>
      </w:r>
      <w:r>
        <w:rPr>
          <w:rFonts w:ascii="Times New Roman;Times;Serif" w:hAnsi="Times New Roman;Times;Serif"/>
          <w:sz w:val="20"/>
          <w:u w:val="single"/>
        </w:rPr>
        <w:t>Remedies</w:t>
      </w:r>
      <w:r>
        <w:rPr>
          <w:rFonts w:ascii="Times New Roman;Times;Serif" w:hAnsi="Times New Roman;Times;Serif"/>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5.16       </w:t>
      </w:r>
      <w:r>
        <w:rPr>
          <w:rFonts w:ascii="Times New Roman;Times;Serif" w:hAnsi="Times New Roman;Times;Serif"/>
          <w:sz w:val="20"/>
          <w:u w:val="single"/>
        </w:rPr>
        <w:t>Payment Set Aside</w:t>
      </w:r>
      <w:r>
        <w:rPr>
          <w:rFonts w:ascii="Times New Roman;Times;Serif" w:hAnsi="Times New Roman;Times;Serif"/>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5.17       </w:t>
      </w:r>
      <w:r>
        <w:rPr>
          <w:rFonts w:ascii="Times New Roman;Times;Serif" w:hAnsi="Times New Roman;Times;Serif"/>
          <w:sz w:val="20"/>
          <w:u w:val="single"/>
        </w:rPr>
        <w:t>Usury</w:t>
      </w:r>
      <w:r>
        <w:rPr>
          <w:rFonts w:ascii="Times New Roman;Times;Serif" w:hAnsi="Times New Roman;Times;Serif"/>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Times;Serif" w:hAnsi="Times New Roman;Times;Serif"/>
          <w:sz w:val="20"/>
          <w:u w:val="single"/>
        </w:rPr>
        <w:t>Maximum Rate</w:t>
      </w:r>
      <w:r>
        <w:rPr>
          <w:rFonts w:ascii="Times New Roman;Times;Serif" w:hAnsi="Times New Roman;Times;Serif"/>
          <w:sz w:val="20"/>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5.18       </w:t>
      </w:r>
      <w:r>
        <w:rPr>
          <w:rFonts w:ascii="Times New Roman;Times;Serif" w:hAnsi="Times New Roman;Times;Serif"/>
          <w:sz w:val="20"/>
          <w:u w:val="single"/>
        </w:rPr>
        <w:t>Independent Nature of Purchasers’ Obligations and Rights</w:t>
      </w:r>
      <w:r>
        <w:rPr>
          <w:rFonts w:ascii="Times New Roman;Times;Serif" w:hAnsi="Times New Roman;Times;Serif"/>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5.19       </w:t>
      </w:r>
      <w:r>
        <w:rPr>
          <w:rFonts w:ascii="Times New Roman;Times;Serif" w:hAnsi="Times New Roman;Times;Serif"/>
          <w:sz w:val="20"/>
          <w:u w:val="single"/>
        </w:rPr>
        <w:t>Liquidated Damages</w:t>
      </w:r>
      <w:r>
        <w:rPr>
          <w:rFonts w:ascii="Times New Roman;Times;Serif" w:hAnsi="Times New Roman;Times;Serif"/>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5.20       </w:t>
      </w:r>
      <w:r>
        <w:rPr>
          <w:rFonts w:ascii="Times New Roman;Times;Serif" w:hAnsi="Times New Roman;Times;Serif"/>
          <w:sz w:val="20"/>
          <w:u w:val="single"/>
        </w:rPr>
        <w:t>Saturdays, Sundays, Holidays, etc.</w:t>
      </w:r>
      <w:r>
        <w:rPr>
          <w:rFonts w:ascii="Times New Roman;Times;Serif" w:hAnsi="Times New Roman;Times;Serif"/>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5.21       </w:t>
      </w:r>
      <w:r>
        <w:rPr>
          <w:rFonts w:ascii="Times New Roman;Times;Serif" w:hAnsi="Times New Roman;Times;Serif"/>
          <w:sz w:val="20"/>
          <w:u w:val="single"/>
        </w:rPr>
        <w:t>Construction</w:t>
      </w:r>
      <w:r>
        <w:rPr>
          <w:rFonts w:ascii="Times New Roman;Times;Serif" w:hAnsi="Times New Roman;Times;Serif"/>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5.22       </w:t>
      </w:r>
      <w:r>
        <w:rPr>
          <w:rFonts w:ascii="Times New Roman;Times;Serif" w:hAnsi="Times New Roman;Times;Serif"/>
          <w:b/>
          <w:sz w:val="20"/>
          <w:u w:val="single"/>
        </w:rPr>
        <w:t>WAIVER OF JURY TRIAL</w:t>
      </w:r>
      <w:r>
        <w:rPr>
          <w:rFonts w:ascii="Times New Roman;Times;Serif" w:hAnsi="Times New Roman;Times;Serif"/>
          <w:b/>
          <w:sz w:val="20"/>
        </w:rPr>
        <w:t xml:space="preserve">.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5.23       </w:t>
      </w:r>
      <w:r>
        <w:rPr>
          <w:rFonts w:ascii="Times New Roman;Times;Serif" w:hAnsi="Times New Roman;Times;Serif"/>
          <w:sz w:val="20"/>
          <w:u w:val="single"/>
        </w:rPr>
        <w:t>Acknowledgment Regarding Original Structure</w:t>
      </w:r>
      <w:r>
        <w:rPr>
          <w:rFonts w:ascii="Times New Roman;Times;Serif" w:hAnsi="Times New Roman;Times;Serif"/>
          <w:sz w:val="20"/>
        </w:rPr>
        <w:t>. Each Purchaser, severally and not jointly, (a) acknowledges and agrees that the Company shall have no obligation to designate, authorize, file a Certificate of Designation (as defined in the Original SPA) for, or issue any shares of preferred stock, or to seek the approval of its stockholders for the creation or issuance of any class or series of preferred stock, whether under the Original SPA or any other Transaction Document as in effect prior to the date hereof, and (b) waives any breach, default or Event of Default (as defined in the Debentures) arising on or prior to the date hereof under the Original SPA or any other Transaction Document as a result of the Company not having obtained the Shareholder Approval (as defined in the Original SPA), filed such Certificate of Designation, or effected the conversion of the Debentures into preferred stock.</w:t>
      </w:r>
    </w:p>
    <w:p>
      <w:pPr>
        <w:pStyle w:val="TextBody"/>
        <w:bidi w:val="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Amended and Restated Securities Purchase Agreement to be duly executed by their respective authorized signatories as of the date first indicated above.</w:t>
      </w:r>
    </w:p>
    <w:p>
      <w:pPr>
        <w:pStyle w:val="TextBody"/>
        <w:bidi w:val="0"/>
        <w:spacing w:before="0" w:after="283"/>
        <w:jc w:val="left"/>
        <w:rPr/>
      </w:pPr>
      <w:r>
        <w:rPr/>
        <w:t> </w:t>
      </w:r>
    </w:p>
    <w:tbl>
      <w:tblPr>
        <w:tblW w:w="6340" w:type="dxa"/>
        <w:jc w:val="left"/>
        <w:tblInd w:w="0" w:type="dxa"/>
        <w:tblLayout w:type="fixed"/>
        <w:tblCellMar>
          <w:top w:w="0" w:type="dxa"/>
          <w:left w:w="0" w:type="dxa"/>
          <w:bottom w:w="0" w:type="dxa"/>
          <w:right w:w="0" w:type="dxa"/>
        </w:tblCellMar>
      </w:tblPr>
      <w:tblGrid>
        <w:gridCol w:w="4745"/>
        <w:gridCol w:w="1595"/>
      </w:tblGrid>
      <w:tr>
        <w:trPr/>
        <w:tc>
          <w:tcPr>
            <w:tcW w:w="4745" w:type="dxa"/>
            <w:tcBorders/>
            <w:vAlign w:val="center"/>
          </w:tcPr>
          <w:p>
            <w:pPr>
              <w:pStyle w:val="TableContents"/>
              <w:bidi w:val="0"/>
              <w:jc w:val="left"/>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spacing w:before="0" w:after="283"/>
              <w:jc w:val="left"/>
              <w:rPr/>
            </w:pPr>
            <w:r>
              <w:rPr/>
              <w:t> </w:t>
            </w:r>
          </w:p>
        </w:tc>
        <w:tc>
          <w:tcPr>
            <w:tcW w:w="1595" w:type="dxa"/>
            <w:tcBorders/>
            <w:vAlign w:val="center"/>
          </w:tcPr>
          <w:p>
            <w:pPr>
              <w:pStyle w:val="TableContents"/>
              <w:bidi w:val="0"/>
              <w:jc w:val="left"/>
              <w:rPr>
                <w:rFonts w:ascii="Times New Roman;Times;Serif" w:hAnsi="Times New Roman;Times;Serif"/>
                <w:sz w:val="20"/>
                <w:u w:val="single"/>
              </w:rPr>
            </w:pPr>
            <w:r>
              <w:rPr>
                <w:rFonts w:ascii="Times New Roman;Times;Serif" w:hAnsi="Times New Roman;Times;Serif"/>
                <w:sz w:val="20"/>
                <w:u w:val="single"/>
              </w:rPr>
              <w:t>Address for Notice:</w:t>
            </w:r>
          </w:p>
          <w:p>
            <w:pPr>
              <w:pStyle w:val="TableContents"/>
              <w:bidi w:val="0"/>
              <w:jc w:val="left"/>
              <w:rPr/>
            </w:pPr>
            <w:r>
              <w:rPr/>
              <w:t> </w:t>
            </w:r>
          </w:p>
          <w:p>
            <w:pPr>
              <w:pStyle w:val="TableContents"/>
              <w:bidi w:val="0"/>
              <w:spacing w:before="0" w:after="283"/>
              <w:jc w:val="left"/>
              <w:rPr/>
            </w:pPr>
            <w:r>
              <w:rPr/>
              <w:t> </w:t>
            </w:r>
          </w:p>
        </w:tc>
      </w:tr>
      <w:tr>
        <w:trPr/>
        <w:tc>
          <w:tcPr>
            <w:tcW w:w="474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left"/>
              <w:rPr>
                <w:rFonts w:ascii="Times New Roman;Times;Serif" w:hAnsi="Times New Roman;Times;Serif"/>
                <w:sz w:val="20"/>
              </w:rPr>
            </w:pPr>
            <w:r>
              <w:rPr>
                <w:rFonts w:ascii="Times New Roman;Times;Serif" w:hAnsi="Times New Roman;Times;Serif"/>
                <w:sz w:val="20"/>
              </w:rPr>
              <w:t>Title:</w:t>
            </w:r>
          </w:p>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 (which shall not constitute notice):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w:t>
            </w:r>
          </w:p>
        </w:tc>
      </w:tr>
      <w:tr>
        <w:trPr/>
        <w:tc>
          <w:tcPr>
            <w:tcW w:w="4745" w:type="dxa"/>
            <w:tcBorders/>
            <w:vAlign w:val="center"/>
          </w:tcPr>
          <w:p>
            <w:pPr>
              <w:pStyle w:val="TableContents"/>
              <w:bidi w:val="0"/>
              <w:jc w:val="left"/>
              <w:rPr/>
            </w:pPr>
            <w:r>
              <w:rPr/>
              <w:t> </w:t>
            </w:r>
          </w:p>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w:t>
            </w:r>
          </w:p>
        </w:tc>
      </w:tr>
    </w:tbl>
    <w:p>
      <w:pPr>
        <w:pStyle w:val="TextBody"/>
        <w:bidi w:val="0"/>
        <w:spacing w:before="0" w:after="283"/>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480"/>
        <w:jc w:val="center"/>
        <w:rPr>
          <w:rFonts w:ascii="Times New Roman;Times;Serif" w:hAnsi="Times New Roman;Times;Serif"/>
          <w:sz w:val="20"/>
        </w:rPr>
      </w:pPr>
      <w:r>
        <w:rPr>
          <w:rFonts w:ascii="Times New Roman;Times;Serif" w:hAnsi="Times New Roman;Times;Serif"/>
          <w:sz w:val="20"/>
        </w:rPr>
        <w:t>SIGNATURE PAGE FOR PURCHASER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[PURCHASER SIGNATURE PAGES TO XPON AMENDED AND RESTATED SECURITIES PURCHASE AGREEMENT]</w:t>
      </w:r>
    </w:p>
    <w:p>
      <w:pPr>
        <w:pStyle w:val="TextBody"/>
        <w:bidi w:val="0"/>
        <w:spacing w:before="0" w:after="283"/>
        <w:jc w:val="left"/>
        <w:rPr/>
      </w:pPr>
      <w:r>
        <w:rPr/>
        <w:t> </w:t>
      </w:r>
    </w:p>
    <w:p>
      <w:pPr>
        <w:pStyle w:val="TextBody"/>
        <w:bidi w:val="0"/>
        <w:spacing w:before="0" w:after="480"/>
        <w:ind w:left="0" w:right="0" w:firstLine="720"/>
        <w:jc w:val="both"/>
        <w:rPr>
          <w:rFonts w:ascii="Times New Roman;Times;Serif" w:hAnsi="Times New Roman;Times;Serif"/>
          <w:sz w:val="20"/>
        </w:rPr>
      </w:pPr>
      <w:r>
        <w:rPr>
          <w:rFonts w:ascii="Times New Roman;Times;Serif" w:hAnsi="Times New Roman;Times;Serif"/>
          <w:sz w:val="20"/>
        </w:rPr>
        <w:t>IN WITNESS WHEREOF, the undersigned have caused this Amended and Restated Securities Purchase Agreement to be duly executed by their respective authorized signatories as of the date first indicated above.</w:t>
      </w:r>
    </w:p>
    <w:p>
      <w:pPr>
        <w:pStyle w:val="TextBody"/>
        <w:bidi w:val="0"/>
        <w:jc w:val="left"/>
        <w:rPr>
          <w:rFonts w:ascii="Times New Roman;Times;Serif" w:hAnsi="Times New Roman;Times;Serif"/>
          <w:sz w:val="20"/>
        </w:rPr>
      </w:pPr>
      <w:r>
        <w:rPr>
          <w:rFonts w:ascii="Times New Roman;Times;Serif" w:hAnsi="Times New Roman;Times;Serif"/>
          <w:sz w:val="20"/>
        </w:rPr>
        <w:t>Name of Purchaser: ____________________________________________</w:t>
      </w:r>
    </w:p>
    <w:p>
      <w:pPr>
        <w:pStyle w:val="TextBody"/>
        <w:bidi w:val="0"/>
        <w:jc w:val="left"/>
        <w:rPr>
          <w:rFonts w:ascii="Times New Roman;Times;Serif" w:hAnsi="Times New Roman;Times;Serif"/>
          <w:sz w:val="20"/>
        </w:rPr>
      </w:pPr>
      <w:r>
        <w:rPr>
          <w:rFonts w:ascii="Times New Roman;Times;Serif" w:hAnsi="Times New Roman;Times;Serif"/>
          <w:i/>
          <w:sz w:val="20"/>
        </w:rPr>
        <w:t>Signature of Authorized Signatory of Purchaser</w:t>
      </w:r>
      <w:r>
        <w:rPr>
          <w:rFonts w:ascii="Times New Roman;Times;Serif" w:hAnsi="Times New Roman;Times;Serif"/>
          <w:sz w:val="20"/>
        </w:rPr>
        <w:t>: 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Name of Authorized Signatory: ____________________________________</w:t>
      </w:r>
    </w:p>
    <w:p>
      <w:pPr>
        <w:pStyle w:val="TextBody"/>
        <w:bidi w:val="0"/>
        <w:jc w:val="left"/>
        <w:rPr>
          <w:rFonts w:ascii="Times New Roman;Times;Serif" w:hAnsi="Times New Roman;Times;Serif"/>
          <w:sz w:val="20"/>
        </w:rPr>
      </w:pPr>
      <w:r>
        <w:rPr>
          <w:rFonts w:ascii="Times New Roman;Times;Serif" w:hAnsi="Times New Roman;Times;Serif"/>
          <w:sz w:val="20"/>
        </w:rPr>
        <w:t>Title of Authorized Signatory: _ __________________</w:t>
      </w:r>
    </w:p>
    <w:p>
      <w:pPr>
        <w:pStyle w:val="TextBody"/>
        <w:bidi w:val="0"/>
        <w:jc w:val="left"/>
        <w:rPr>
          <w:rFonts w:ascii="Times New Roman;Times;Serif" w:hAnsi="Times New Roman;Times;Serif"/>
          <w:sz w:val="20"/>
        </w:rPr>
      </w:pPr>
      <w:r>
        <w:rPr>
          <w:rFonts w:ascii="Times New Roman;Times;Serif" w:hAnsi="Times New Roman;Times;Serif"/>
          <w:sz w:val="20"/>
        </w:rPr>
        <w:t>Email Address of Authorized Signatory: ______________________________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Notice to Purchaser:</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Address for Delivery of Securities to Purchaser (if not same as address for notice):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Subscription Amount: $________________</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Warrants: _____________ Beneficial Ownership Blocker  4.99% or  9.99%</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EIN Number: _______________________</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A</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Amended and Restated 8% Convertible Debenture Due August 21, 2029</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see attached</w:t>
      </w:r>
      <w:r>
        <w:rPr>
          <w:rFonts w:ascii="Times New Roman;Times;Serif" w:hAnsi="Times New Roman;Times;Serif"/>
          <w:sz w:val="20"/>
        </w:rPr>
        <w:t>)</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B</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Amended and Restated Registration Rights Agreement</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see attached</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rFonts w:ascii="Times New Roman;Times;Serif" w:hAnsi="Times New Roman;Times;Serif"/>
          <w:b/>
          <w:sz w:val="20"/>
          <w:u w:val="single"/>
        </w:rPr>
      </w:pPr>
      <w:r>
        <w:rPr>
          <w:rFonts w:ascii="Times New Roman;Times;Serif" w:hAnsi="Times New Roman;Times;Serif"/>
          <w:b/>
          <w:sz w:val="20"/>
          <w:u w:val="single"/>
        </w:rPr>
        <w:t>Exhibit C</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Amended and Restated Common Stock Purchase Warrant</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see attached</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w:t>
      </w:r>
    </w:p>
    <w:p>
      <w:pPr>
        <w:pStyle w:val="TextBody"/>
        <w:bidi w:val="0"/>
        <w:jc w:val="center"/>
        <w:rPr/>
      </w:pPr>
      <w:r>
        <w:rPr/>
        <w:t> </w:t>
      </w:r>
    </w:p>
    <w:p>
      <w:pPr>
        <w:pStyle w:val="TextBody"/>
        <w:bidi w:val="0"/>
        <w:jc w:val="right"/>
        <w:rPr>
          <w:rFonts w:ascii="Times New Roman;Times;Serif" w:hAnsi="Times New Roman;Times;Serif"/>
          <w:b/>
          <w:sz w:val="20"/>
        </w:rPr>
      </w:pPr>
      <w:bookmarkStart w:id="30" w:name="ex10_2.htm"/>
      <w:bookmarkStart w:id="31" w:name="ksex10_2"/>
      <w:bookmarkEnd w:id="30"/>
      <w:bookmarkEnd w:id="31"/>
      <w:r>
        <w:rPr>
          <w:rFonts w:ascii="Times New Roman;Times;Serif" w:hAnsi="Times New Roman;Times;Serif"/>
          <w:b/>
          <w:sz w:val="20"/>
        </w:rPr>
        <w:t>Exhibit 10.2</w:t>
      </w:r>
      <w:r>
        <w:br w:type="page"/>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FORM OF AMENDED AND RESTATED REGISTRATION RIGHTS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This Amended and Restated Registration Rights Agreement (this “</w:t>
      </w:r>
      <w:r>
        <w:rPr>
          <w:rFonts w:ascii="Times New Roman;Times;Serif" w:hAnsi="Times New Roman;Times;Serif"/>
          <w:sz w:val="20"/>
          <w:u w:val="single"/>
        </w:rPr>
        <w:t>Agreement</w:t>
      </w:r>
      <w:r>
        <w:rPr>
          <w:rFonts w:ascii="Times New Roman;Times;Serif" w:hAnsi="Times New Roman;Times;Serif"/>
          <w:sz w:val="20"/>
        </w:rPr>
        <w:t>”) is made and entered into as of [__________], amends and restates that certain Registration Rights Agreement dated August 21, 2026 (the “</w:t>
      </w:r>
      <w:r>
        <w:rPr>
          <w:rFonts w:ascii="Times New Roman;Times;Serif" w:hAnsi="Times New Roman;Times;Serif"/>
          <w:sz w:val="20"/>
          <w:u w:val="single"/>
        </w:rPr>
        <w:t>Original RRA</w:t>
      </w:r>
      <w:r>
        <w:rPr>
          <w:rFonts w:ascii="Times New Roman;Times;Serif" w:hAnsi="Times New Roman;Times;Serif"/>
          <w:sz w:val="20"/>
        </w:rPr>
        <w:t>”), between Expion Energy, Inc., a Nevada corporation (the “</w:t>
      </w:r>
      <w:r>
        <w:rPr>
          <w:rFonts w:ascii="Times New Roman;Times;Serif" w:hAnsi="Times New Roman;Times;Serif"/>
          <w:sz w:val="20"/>
          <w:u w:val="single"/>
        </w:rPr>
        <w:t>Company</w:t>
      </w:r>
      <w:r>
        <w:rPr>
          <w:rFonts w:ascii="Times New Roman;Times;Serif" w:hAnsi="Times New Roman;Times;Serif"/>
          <w:sz w:val="20"/>
        </w:rPr>
        <w:t>”), and each of the several purchasers signatory hereto (each such purchaser, a “</w:t>
      </w:r>
      <w:r>
        <w:rPr>
          <w:rFonts w:ascii="Times New Roman;Times;Serif" w:hAnsi="Times New Roman;Times;Serif"/>
          <w:sz w:val="20"/>
          <w:u w:val="single"/>
        </w:rPr>
        <w:t>Purchaser</w:t>
      </w:r>
      <w:r>
        <w:rPr>
          <w:rFonts w:ascii="Times New Roman;Times;Serif" w:hAnsi="Times New Roman;Times;Serif"/>
          <w:sz w:val="20"/>
        </w:rPr>
        <w:t>” and, collectively, the “</w:t>
      </w:r>
      <w:r>
        <w:rPr>
          <w:rFonts w:ascii="Times New Roman;Times;Serif" w:hAnsi="Times New Roman;Times;Serif"/>
          <w:sz w:val="20"/>
          <w:u w:val="single"/>
        </w:rPr>
        <w:t>Purchasers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This Agreement is made pursuant to the Amended and Restated Securities Purchase Agreement, dated as of the date hereof, between the Company and each Purchaser (the “</w:t>
      </w:r>
      <w:r>
        <w:rPr>
          <w:rFonts w:ascii="Times New Roman;Times;Serif" w:hAnsi="Times New Roman;Times;Serif"/>
          <w:sz w:val="20"/>
          <w:u w:val="single"/>
        </w:rPr>
        <w:t>Purchase Agreement</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The Company and each Purchaser hereby agrees as follows: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b/>
          <w:sz w:val="20"/>
        </w:rPr>
        <w:t>Capitalized terms used and not otherwise defined herein that are defined in the Purchase Agreement shall have the meanings given such terms in the Purchase Agreement.</w:t>
      </w:r>
      <w:r>
        <w:rPr>
          <w:rFonts w:ascii="Times New Roman;Times;Serif" w:hAnsi="Times New Roman;Times;Serif"/>
          <w:sz w:val="20"/>
        </w:rPr>
        <w:t xml:space="preserve"> As used in this Agreement, the following terms shall have the following meanings:</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Advice</w:t>
      </w:r>
      <w:r>
        <w:rPr>
          <w:rFonts w:ascii="Times New Roman;Times;Serif" w:hAnsi="Times New Roman;Times;Serif"/>
          <w:sz w:val="20"/>
        </w:rPr>
        <w:t>” shall have the meaning set forth in Section 6(c).</w:t>
      </w:r>
    </w:p>
    <w:p>
      <w:pPr>
        <w:pStyle w:val="TextBody"/>
        <w:bidi w:val="0"/>
        <w:ind w:left="720" w:right="0" w:hanging="0"/>
        <w:jc w:val="both"/>
        <w:rPr/>
      </w:pPr>
      <w:r>
        <w:rPr/>
        <w:t> </w:t>
      </w:r>
    </w:p>
    <w:p>
      <w:pPr>
        <w:pStyle w:val="TextBody"/>
        <w:bidi w:val="0"/>
        <w:ind w:left="720" w:right="0" w:firstLine="720"/>
        <w:jc w:val="both"/>
        <w:rPr/>
      </w:pPr>
      <w:r>
        <w:rPr/>
        <w:t>“</w:t>
      </w:r>
      <w:r>
        <w:rPr>
          <w:rFonts w:ascii="Times New Roman;Times;Serif" w:hAnsi="Times New Roman;Times;Serif"/>
          <w:sz w:val="20"/>
          <w:u w:val="single"/>
        </w:rPr>
        <w:t>Conversion Shares</w:t>
      </w:r>
      <w:r>
        <w:rPr>
          <w:rFonts w:ascii="Times New Roman;Times;Serif" w:hAnsi="Times New Roman;Times;Serif"/>
          <w:sz w:val="20"/>
        </w:rPr>
        <w:t>” shall have the meaning ascribed to such term in the Purchase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Date</w:t>
      </w:r>
      <w:r>
        <w:rPr>
          <w:rFonts w:ascii="Times New Roman;Times;Serif" w:hAnsi="Times New Roman;Times;Serif"/>
          <w:sz w:val="20"/>
        </w:rPr>
        <w:t>” means, with respect to the Initial Registration Statement required to be filed hereunder, the 30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Filing Date (or, in the event of a “full review” by the Commission, the 60</w:t>
      </w:r>
      <w:r>
        <w:rPr>
          <w:rFonts w:ascii="Times New Roman;Times;Serif" w:hAnsi="Times New Roman;Times;Serif"/>
          <w:position w:val="7"/>
          <w:sz w:val="16"/>
          <w:sz w:val="20"/>
        </w:rPr>
        <w:t>th</w:t>
      </w:r>
      <w:r>
        <w:rPr>
          <w:rFonts w:ascii="Times New Roman;Times;Serif" w:hAnsi="Times New Roman;Times;Serif"/>
          <w:sz w:val="20"/>
        </w:rPr>
        <w:t xml:space="preserve"> calendar day following such date, as applicable) and with respect to any additional Registration Statements which may be required pursuant to Section 2(c) or Section 3(c), the 30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on which an additional Registration Statement is required to be filed hereunder (or, in the event of a “full review” by the Commission, the 60th calendar day following the date such additional Registration Statement is required to be filed hereunder);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third Trading Day following the date on which the Company is so notified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“Filing Date” and “Effectiveness Date” deadlines set forth herein shall be automatically extended for each day of such “shutdown” after such filing.</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Effectiveness Period</w:t>
      </w:r>
      <w:r>
        <w:rPr>
          <w:rFonts w:ascii="Times New Roman;Times;Serif" w:hAnsi="Times New Roman;Times;Serif"/>
          <w:sz w:val="20"/>
        </w:rPr>
        <w:t>” shall have the meaning set forth in Section 2(a).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w:t>
      </w:r>
      <w:r>
        <w:rPr>
          <w:rFonts w:ascii="Times New Roman;Times;Serif" w:hAnsi="Times New Roman;Times;Serif"/>
          <w:sz w:val="20"/>
        </w:rPr>
        <w:t>” shall have the meaning set forth in Section 2(d).</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Event Date</w:t>
      </w:r>
      <w:r>
        <w:rPr>
          <w:rFonts w:ascii="Times New Roman;Times;Serif" w:hAnsi="Times New Roman;Times;Serif"/>
          <w:sz w:val="20"/>
        </w:rPr>
        <w:t>” shall have the meaning set forth in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Filing Date</w:t>
      </w:r>
      <w:r>
        <w:rPr>
          <w:rFonts w:ascii="Times New Roman;Times;Serif" w:hAnsi="Times New Roman;Times;Serif"/>
          <w:sz w:val="20"/>
        </w:rPr>
        <w:t>” means, with respect to the Initial Registration Statement required hereunder, the 20</w:t>
      </w:r>
      <w:r>
        <w:rPr>
          <w:rFonts w:ascii="Times New Roman;Times;Serif" w:hAnsi="Times New Roman;Times;Serif"/>
          <w:position w:val="7"/>
          <w:sz w:val="16"/>
          <w:sz w:val="20"/>
        </w:rPr>
        <w:t>th</w:t>
      </w:r>
      <w:r>
        <w:rPr>
          <w:rFonts w:ascii="Times New Roman;Times;Serif" w:hAnsi="Times New Roman;Times;Serif"/>
          <w:sz w:val="20"/>
        </w:rPr>
        <w:t xml:space="preserve"> calendar day following the date of this Agreement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bidi w:val="0"/>
        <w:jc w:val="both"/>
        <w:rPr/>
      </w:pPr>
      <w:r>
        <w:rPr/>
        <w:t> </w:t>
      </w:r>
    </w:p>
    <w:p>
      <w:pPr>
        <w:pStyle w:val="TextBody"/>
        <w:bidi w:val="0"/>
        <w:ind w:left="72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or “</w:t>
      </w:r>
      <w:r>
        <w:rPr>
          <w:rFonts w:ascii="Times New Roman;Times;Serif" w:hAnsi="Times New Roman;Times;Serif"/>
          <w:sz w:val="20"/>
          <w:u w:val="single"/>
        </w:rPr>
        <w:t>Holders</w:t>
      </w:r>
      <w:r>
        <w:rPr>
          <w:rFonts w:ascii="Times New Roman;Times;Serif" w:hAnsi="Times New Roman;Times;Serif"/>
          <w:sz w:val="20"/>
        </w:rPr>
        <w:t>” means the holder or holders, as the case may be, from time to time of Registrable Securities.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Indemnified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Indemnifying Party</w:t>
      </w:r>
      <w:r>
        <w:rPr>
          <w:rFonts w:ascii="Times New Roman;Times;Serif" w:hAnsi="Times New Roman;Times;Serif"/>
          <w:sz w:val="20"/>
        </w:rPr>
        <w:t>” shall have the meaning set forth in Section 5(c).</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Initial Registration Statement</w:t>
      </w:r>
      <w:r>
        <w:rPr>
          <w:rFonts w:ascii="Times New Roman;Times;Serif" w:hAnsi="Times New Roman;Times;Serif"/>
          <w:sz w:val="20"/>
        </w:rPr>
        <w:t>” means the initial Registration Statement filed pursuant to this Agreement.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Losses</w:t>
      </w:r>
      <w:r>
        <w:rPr>
          <w:rFonts w:ascii="Times New Roman;Times;Serif" w:hAnsi="Times New Roman;Times;Serif"/>
          <w:sz w:val="20"/>
        </w:rPr>
        <w:t>” shall have the meaning set forth in Section 5(a).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Plan of Distribution</w:t>
      </w:r>
      <w:r>
        <w:rPr>
          <w:rFonts w:ascii="Times New Roman;Times;Serif" w:hAnsi="Times New Roman;Times;Serif"/>
          <w:sz w:val="20"/>
        </w:rPr>
        <w:t xml:space="preserve">” means the plan of distribution attached hereto as </w:t>
      </w:r>
      <w:r>
        <w:rPr>
          <w:rFonts w:ascii="Times New Roman;Times;Serif" w:hAnsi="Times New Roman;Times;Serif"/>
          <w:sz w:val="20"/>
          <w:u w:val="single"/>
        </w:rPr>
        <w:t>Annex A</w:t>
      </w:r>
      <w:r>
        <w:rPr>
          <w:rFonts w:ascii="Times New Roman;Times;Serif" w:hAnsi="Times New Roman;Times;Serif"/>
          <w:sz w:val="20"/>
        </w:rPr>
        <w: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Prospectus</w:t>
      </w:r>
      <w:r>
        <w:rPr>
          <w:rFonts w:ascii="Times New Roman;Times;Serif" w:hAnsi="Times New Roman;Times;Serif"/>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Registrable Securities</w:t>
      </w:r>
      <w:r>
        <w:rPr>
          <w:rFonts w:ascii="Times New Roman;Times;Serif" w:hAnsi="Times New Roman;Times;Serif"/>
          <w:sz w:val="20"/>
        </w:rPr>
        <w:t xml:space="preserve">” means, as of any date of determination, (a) all of the shares of Common Stock then issued and issuable upon conversion in full of the Debentures and the Additional Debentures (assuming on such date all principal amount of Debentures and Additional Debentures are converted in full into Common Stock without regard to any conversion limitations therein), (b) all shares of Common Stock issued and issuable as interest on the Debentures assuming all interest payments are made in shares of Common Stock and the Debentures are held to maturity, (c) all Warrant Shares then issued and issuable upon exercise of the Warrants (assuming on such date the Warrants are exercised in full without regard to any exercise limitations therein), (d) any additional shares of Common Stock issued and issuable in connection with any anti-dilution and adjustment provisions in the Debentures, the Additional Debentures and the Warrants, as applicable (in each case, without giving effect to any limitations on conversion set forth in the Debentures and Additional Debentures, or limitations on exercise set forth in the Warrants) and (e) any securities issued or then issuable upon any stock split, dividend or other distribution, recapitalization or similar event with respect to the foregoing; </w:t>
      </w:r>
      <w:r>
        <w:rPr>
          <w:rFonts w:ascii="Times New Roman;Times;Serif" w:hAnsi="Times New Roman;Times;Serif"/>
          <w:sz w:val="20"/>
          <w:u w:val="single"/>
        </w:rPr>
        <w:t>provided, however</w:t>
      </w:r>
      <w:r>
        <w:rPr>
          <w:rFonts w:ascii="Times New Roman;Times;Serif" w:hAnsi="Times New Roman;Times;Serif"/>
          <w:sz w:val="20"/>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or (iii) such Registrable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interest upon which, such securities were issued or are issuable, were at no time held by any Affiliate of the Company, and all Warrants are exercised by “cashless exercise” as provided in Section 2(c) of each of the Warrants), as reasonably determined by the Company, upon the advice of counsel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Registration Statement</w:t>
      </w:r>
      <w:r>
        <w:rPr>
          <w:rFonts w:ascii="Times New Roman;Times;Serif" w:hAnsi="Times New Roman;Times;Serif"/>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415</w:t>
      </w:r>
      <w:r>
        <w:rPr>
          <w:rFonts w:ascii="Times New Roman;Times;Serif" w:hAnsi="Times New Roman;Times;Serif"/>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Selling Stockholder Questionnaire</w:t>
      </w:r>
      <w:r>
        <w:rPr>
          <w:rFonts w:ascii="Times New Roman;Times;Serif" w:hAnsi="Times New Roman;Times;Serif"/>
          <w:sz w:val="20"/>
        </w:rPr>
        <w:t>” shall have the meaning set forth in Section 3(a).</w:t>
      </w:r>
    </w:p>
    <w:p>
      <w:pPr>
        <w:pStyle w:val="TextBody"/>
        <w:bidi w:val="0"/>
        <w:ind w:left="720" w:right="0" w:firstLine="720"/>
        <w:jc w:val="both"/>
        <w:rPr/>
      </w:pPr>
      <w:r>
        <w:rPr/>
        <w:t> </w:t>
      </w:r>
    </w:p>
    <w:p>
      <w:pPr>
        <w:pStyle w:val="TextBody"/>
        <w:bidi w:val="0"/>
        <w:ind w:left="720" w:right="0" w:firstLine="720"/>
        <w:jc w:val="both"/>
        <w:rPr/>
      </w:pPr>
      <w:r>
        <w:rPr/>
        <w:t>“</w:t>
      </w:r>
      <w:r>
        <w:rPr>
          <w:rFonts w:ascii="Times New Roman;Times;Serif" w:hAnsi="Times New Roman;Times;Serif"/>
          <w:sz w:val="20"/>
          <w:u w:val="single"/>
        </w:rPr>
        <w:t>SEC Guidance</w:t>
      </w:r>
      <w:r>
        <w:rPr>
          <w:rFonts w:ascii="Times New Roman;Times;Serif" w:hAnsi="Times New Roman;Times;Serif"/>
          <w:sz w:val="20"/>
        </w:rPr>
        <w:t>” means (i) any publicly-available written or oral guidance of the Commission staff, or any comments, requirements or requests of the Commission staff and (ii) the Securities Act.</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Shelf Registration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2(e)) and shall contain (unless otherwise directed by at least 85% in interest of the Holders) substantially the “</w:t>
      </w:r>
      <w:r>
        <w:rPr>
          <w:rFonts w:ascii="Times New Roman;Times;Serif" w:hAnsi="Times New Roman;Times;Serif"/>
          <w:sz w:val="20"/>
          <w:u w:val="single"/>
        </w:rPr>
        <w:t>Plan of Distribution</w:t>
      </w:r>
      <w:r>
        <w:rPr>
          <w:rFonts w:ascii="Times New Roman;Times;Serif" w:hAnsi="Times New Roman;Times;Serif"/>
          <w:sz w:val="20"/>
        </w:rPr>
        <w:t xml:space="preserve">” attached hereto as </w:t>
      </w:r>
      <w:r>
        <w:rPr>
          <w:rFonts w:ascii="Times New Roman;Times;Serif" w:hAnsi="Times New Roman;Times;Serif"/>
          <w:sz w:val="20"/>
          <w:u w:val="single"/>
        </w:rPr>
        <w:t>Annex A</w:t>
      </w:r>
      <w:r>
        <w:rPr>
          <w:rFonts w:ascii="Times New Roman;Times;Serif" w:hAnsi="Times New Roman;Times;Serif"/>
          <w:sz w:val="20"/>
        </w:rPr>
        <w:t xml:space="preserve"> and substantially the “</w:t>
      </w:r>
      <w:r>
        <w:rPr>
          <w:rFonts w:ascii="Times New Roman;Times;Serif" w:hAnsi="Times New Roman;Times;Serif"/>
          <w:sz w:val="20"/>
          <w:u w:val="single"/>
        </w:rPr>
        <w:t>Selling Stockholder</w:t>
      </w:r>
      <w:r>
        <w:rPr>
          <w:rFonts w:ascii="Times New Roman;Times;Serif" w:hAnsi="Times New Roman;Times;Serif"/>
          <w:sz w:val="20"/>
        </w:rPr>
        <w:t xml:space="preserve">” section attached hereto as </w:t>
      </w:r>
      <w:r>
        <w:rPr>
          <w:rFonts w:ascii="Times New Roman;Times;Serif" w:hAnsi="Times New Roman;Times;Serif"/>
          <w:sz w:val="20"/>
          <w:u w:val="single"/>
        </w:rPr>
        <w:t>Annex B</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sz w:val="20"/>
          <w:u w:val="single"/>
        </w:rPr>
        <w:t>Effectiveness Period</w:t>
      </w:r>
      <w:r>
        <w:rPr>
          <w:rFonts w:ascii="Times New Roman;Times;Serif" w:hAnsi="Times New Roman;Times;Serif"/>
          <w:sz w:val="20"/>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if not eligible for Form S-3, on Form S-1 or such other form available to register for resale the Registrable Securities as a secondary offering, subject to the provisions of Section 2(e); with respect to filing on Form S-3, Form S-1 or other appropriate form, and subject to the provisions of Section 2(d) with respect to the payment of liquidated damages;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 </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color w:val="000000"/>
          <w:sz w:val="20"/>
        </w:rPr>
        <w:t xml:space="preserve">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jc w:val="both"/>
        <w:rPr/>
      </w:pPr>
      <w:r>
        <w:rPr/>
        <w:t> </w:t>
      </w:r>
    </w:p>
    <w:tbl>
      <w:tblPr>
        <w:tblW w:w="8928" w:type="dxa"/>
        <w:jc w:val="left"/>
        <w:tblInd w:w="0" w:type="dxa"/>
        <w:tblLayout w:type="fixed"/>
        <w:tblCellMar>
          <w:top w:w="0" w:type="dxa"/>
          <w:left w:w="0" w:type="dxa"/>
          <w:bottom w:w="0" w:type="dxa"/>
          <w:right w:w="0" w:type="dxa"/>
        </w:tblCellMar>
      </w:tblPr>
      <w:tblGrid>
        <w:gridCol w:w="38"/>
        <w:gridCol w:w="15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the Company shall reduce or eliminate any securities to be included other than Registrable Securities;</w:t>
            </w:r>
          </w:p>
        </w:tc>
      </w:tr>
    </w:tbl>
    <w:p>
      <w:pPr>
        <w:pStyle w:val="TextBody"/>
        <w:bidi w:val="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Second, the Company shall reduce Registrable Securities represented by Warrant Shares (applied, in the case that some Warrant Shares may be registered, to the Holders on a pro rata basis based on the total number of unregistered Warrant Shares held by such Holders); and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Third, the Company shall reduce Registrable Securities represented by Conversion Shares (applied, in the case that some Conversion Shares may be registered, to the Holders on a pro rata basis based on the total number of unregistered Conversion Shares held by such Holders). </w:t>
            </w:r>
          </w:p>
        </w:tc>
      </w:tr>
    </w:tbl>
    <w:p>
      <w:pPr>
        <w:pStyle w:val="TextBody"/>
        <w:bidi w:val="0"/>
        <w:jc w:val="both"/>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color w:val="000000"/>
          <w:sz w:val="20"/>
        </w:rPr>
        <w:t xml:space="preserve">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w:t>
      </w:r>
      <w:r>
        <w:rPr>
          <w:rFonts w:ascii="Times New Roman;Times;Serif" w:hAnsi="Times New Roman;Times;Serif"/>
          <w:sz w:val="20"/>
        </w:rPr>
        <w:t xml:space="preserve">commercially reasonable </w:t>
      </w:r>
      <w:r>
        <w:rPr>
          <w:rFonts w:ascii="Times New Roman;Times;Serif" w:hAnsi="Times New Roman;Times;Serif"/>
          <w:color w:val="000000"/>
          <w:sz w:val="20"/>
        </w:rPr>
        <w:t>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(d)                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effectiveness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(other than Registrable Securities excluded pursuant to Section 2(c)) is not declared effective by the Commission by the Effectiveness Date of the Initial Registration Statement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twenty (20) consecutive calendar days or more than an aggregate of thirty (30) calendar days (which need not be consecutive calendar days) during any twelve (12)-month period (any such failure or breach being referred to as an “</w:t>
      </w:r>
      <w:r>
        <w:rPr>
          <w:rFonts w:ascii="Times New Roman;Times;Serif" w:hAnsi="Times New Roman;Times;Serif"/>
          <w:sz w:val="20"/>
          <w:u w:val="single"/>
        </w:rPr>
        <w:t>Event</w:t>
      </w:r>
      <w:r>
        <w:rPr>
          <w:rFonts w:ascii="Times New Roman;Times;Serif" w:hAnsi="Times New Roman;Times;Serif"/>
          <w:sz w:val="20"/>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Times;Serif" w:hAnsi="Times New Roman;Times;Serif"/>
          <w:sz w:val="20"/>
          <w:u w:val="single"/>
        </w:rPr>
        <w:t>Event Date</w:t>
      </w:r>
      <w:r>
        <w:rPr>
          <w:rFonts w:ascii="Times New Roman;Times;Serif" w:hAnsi="Times New Roman;Times;Serif"/>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5.0% of the aggregate Subscription Amount paid by such Holder pursuant to the Purchase Agreement. If the Company fails to pay any partial liquidated damages pursuant to this Section in full within seven (7) days after the date payable, the Company will pay interest thereon at a rate of 12.0%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Notwithstanding anything to the contrary contained herein, in no event shall the Company be permitted to name any Holder or affiliate of a Holder as any “underwriter” without the prior written consent of such Holder.</w:t>
      </w:r>
    </w:p>
    <w:p>
      <w:pPr>
        <w:pStyle w:val="TextBody"/>
        <w:bidi w:val="0"/>
        <w:ind w:left="720" w:right="0" w:hanging="0"/>
        <w:jc w:val="both"/>
        <w:rPr/>
      </w:pPr>
      <w:r>
        <w:rPr/>
        <w:t> </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Registration Procedures</w:t>
      </w:r>
      <w:r>
        <w:rPr>
          <w:rFonts w:ascii="Times New Roman;Times;Serif" w:hAnsi="Times New Roman;Times;Serif"/>
          <w:sz w:val="20"/>
        </w:rPr>
        <w:t>.</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connection with the Company’s registration obligations hereunder, the Company shall:</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Not less than two (2)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other than Annual Reports on Form 10-K, Quarterly Reports on Form 10-Q, Current Reports on Form 8-K, and any similar or successor reports), the Company shall (i) furnish to each Holder copies of all such documents proposed to be filed, which documents (other than those incorporated or deemed to be incorporated by reference) will be subject to the reasonable review of such Holders, and (ii) cause its officers and directors, counsel and independent registered public accountants to respond to such inquiries as shall be reasonably necessary in the reasonable opinion of respective counsel to each Holder, to conduct a reasonable investigation within the meaning of the Securities Act. The Company shall afford each Holder a reasonable opportunity to review and provide comments on such documents prior to filing. The Company shall consider in good faith any comments timely provided by the Holders, including legal counsel of any Holder, with respect to the accuracy of information regarding such Holders or the plan of distribution.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two (2)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sz w:val="20"/>
          <w:u w:val="single"/>
        </w:rPr>
        <w:t>Annex C</w:t>
      </w:r>
      <w:r>
        <w:rPr>
          <w:rFonts w:ascii="Times New Roman;Times;Serif" w:hAnsi="Times New Roman;Times;Serif"/>
          <w:sz w:val="20"/>
        </w:rPr>
        <w:t xml:space="preserve"> (a “</w:t>
      </w:r>
      <w:r>
        <w:rPr>
          <w:rFonts w:ascii="Times New Roman;Times;Serif" w:hAnsi="Times New Roman;Times;Serif"/>
          <w:sz w:val="20"/>
          <w:u w:val="single"/>
        </w:rPr>
        <w:t>Selling Stockholder Questionnaire</w:t>
      </w:r>
      <w:r>
        <w:rPr>
          <w:rFonts w:ascii="Times New Roman;Times;Serif" w:hAnsi="Times New Roman;Times;Serif"/>
          <w:sz w:val="20"/>
        </w:rPr>
        <w:t>”) on a date that is not less than two (2) Trading Days prior to the Filing Date or by the end of the fourth (4</w:t>
      </w:r>
      <w:r>
        <w:rPr>
          <w:rFonts w:ascii="Times New Roman;Times;Serif" w:hAnsi="Times New Roman;Times;Serif"/>
          <w:position w:val="7"/>
          <w:sz w:val="16"/>
          <w:sz w:val="20"/>
        </w:rPr>
        <w:t>th</w:t>
      </w:r>
      <w:r>
        <w:rPr>
          <w:rFonts w:ascii="Times New Roman;Times;Serif" w:hAnsi="Times New Roman;Times;Serif"/>
          <w:sz w:val="20"/>
        </w:rPr>
        <w:t>) Trading Day following the date on which such Holder receives draft materials in accordance with this Section.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If during the Effectiveness Period, the number of Registrable Securities at any time exceeds 100% of the number of shares of Common Stock then registered in a Registration Statement, by way of example only, if any Holder exercises the Additional Investment Right to purchase Additional Debentures,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Notify the Holders of Registrable Securities to be sold (which notice shall, pursuant to clauses (iii) through (v)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no event shall any such notice contain any information which would constitute material, non-public information regarding the Company or any of its Subsidiaries.</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(f)                 Furnish to each Holder, without charge, at least one (1)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(i)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w:t>
      </w:r>
      <w:r>
        <w:rPr>
          <w:rFonts w:ascii="Times New Roman;Times;Serif" w:hAnsi="Times New Roman;Times;Serif"/>
          <w:color w:val="000000"/>
          <w:spacing w:val="0"/>
          <w:sz w:val="20"/>
        </w:rPr>
        <w:t xml:space="preserve">If the Company notifies the Holders in accordance with clauses (iii) through (v) of Section 3(d) above to suspend the use of any Prospectus until the requisite changes to such Prospectus have been made, then the Holders shall suspend use of such Prospectus. The Company will use its </w:t>
      </w:r>
      <w:r>
        <w:rPr>
          <w:rFonts w:ascii="Times New Roman;Times;Serif" w:hAnsi="Times New Roman;Times;Serif"/>
          <w:sz w:val="20"/>
        </w:rPr>
        <w:t xml:space="preserve">commercially reasonable </w:t>
      </w:r>
      <w:r>
        <w:rPr>
          <w:rFonts w:ascii="Times New Roman;Times;Serif" w:hAnsi="Times New Roman;Times;Serif"/>
          <w:color w:val="000000"/>
          <w:spacing w:val="0"/>
          <w:sz w:val="20"/>
        </w:rPr>
        <w:t>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30 calendar days (which need not be consecutive days) in any 12-month period</w:t>
      </w:r>
      <w:r>
        <w:rPr>
          <w:rFonts w:ascii="Times New Roman;Times;Serif" w:hAnsi="Times New Roman;Times;Serif"/>
          <w:color w:val="000000"/>
          <w:sz w:val="20"/>
        </w:rPr>
        <w:t>.</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(l)                 The Company shall use its commercially reasonable efforts to maintain eligibility for use of Form S-3 (or any successor form thereto) for the registration of the resale of Registrable Securities.</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(m)              The Company may require each selling Holder to furnish to the Company a certified statement as to the number of shares of Common Stock beneficially owned by such Holder and, if required by the Commission in accordance with SEC Guidance,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Registration Expenses</w:t>
      </w:r>
      <w:r>
        <w:rPr>
          <w:rFonts w:ascii="Times New Roman;Times;Serif" w:hAnsi="Times New Roman;Times;Serif"/>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to be purchased at the sole discretion of the Company,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Indemnification</w:t>
      </w:r>
      <w:r>
        <w:rPr>
          <w:rFonts w:ascii="Times New Roman;Times;Serif" w:hAnsi="Times New Roman;Times;Serif"/>
          <w:sz w:val="20"/>
        </w:rPr>
        <w:t>.</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Indemnification by the Company</w:t>
      </w:r>
      <w:r>
        <w:rPr>
          <w:rFonts w:ascii="Times New Roman;Times;Serif" w:hAnsi="Times New Roman;Times;Serif"/>
          <w:sz w:val="20"/>
        </w:rPr>
        <w:t>. The Company shall, notwithstanding any termination of this Agreement, indemnify and hold harmless each Holder, the officers, directors, members, partners, agents, brokers,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sz w:val="20"/>
          <w:u w:val="single"/>
        </w:rPr>
        <w:t>Losses</w:t>
      </w:r>
      <w:r>
        <w:rPr>
          <w:rFonts w:ascii="Times New Roman;Times;Serif" w:hAnsi="Times New Roman;Times;Serif"/>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for use therein, or to the extent that such information relates to such Holder or such Holder’s information provided in the Selling Stockholder Questionnaire or proposed method of distribution of Registrable Securities and was reviewed and approved in writing by such Holder for use in a Registration Statement, such Prospectus or in any amendment or supplement thereto (it being understood that the Holder has approved Annex A hereto for this purpose) or (ii) in the case of an occurrence of an event of the type specified in Section 3(d)(iii)-(v),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Indemnification by Holders</w:t>
      </w:r>
      <w:r>
        <w:rPr>
          <w:rFonts w:ascii="Times New Roman;Times;Serif" w:hAnsi="Times New Roman;Times;Serif"/>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approved in writing by such Holder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Conduct of Indemnification Proceedings</w:t>
      </w:r>
      <w:r>
        <w:rPr>
          <w:rFonts w:ascii="Times New Roman;Times;Serif" w:hAnsi="Times New Roman;Times;Serif"/>
          <w:sz w:val="20"/>
        </w:rPr>
        <w:t>. If any Proceeding shall be brought or asserted against any Person entitled to indemnity hereunder (an “</w:t>
      </w:r>
      <w:r>
        <w:rPr>
          <w:rFonts w:ascii="Times New Roman;Times;Serif" w:hAnsi="Times New Roman;Times;Serif"/>
          <w:sz w:val="20"/>
          <w:u w:val="single"/>
        </w:rPr>
        <w:t>Indemnified Party</w:t>
      </w:r>
      <w:r>
        <w:rPr>
          <w:rFonts w:ascii="Times New Roman;Times;Serif" w:hAnsi="Times New Roman;Times;Serif"/>
          <w:sz w:val="20"/>
        </w:rPr>
        <w:t>”), such Indemnified Party shall promptly notify the Person from whom indemnity is sought (the “</w:t>
      </w:r>
      <w:r>
        <w:rPr>
          <w:rFonts w:ascii="Times New Roman;Times;Serif" w:hAnsi="Times New Roman;Times;Serif"/>
          <w:sz w:val="20"/>
          <w:u w:val="single"/>
        </w:rPr>
        <w:t>Indemnifying Party</w:t>
      </w:r>
      <w:r>
        <w:rPr>
          <w:rFonts w:ascii="Times New Roman;Times;Serif" w:hAnsi="Times New Roman;Times;Serif"/>
          <w:sz w:val="20"/>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ind w:left="720" w:right="0" w:hanging="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An Indemnified Party shall have the right to employ one (1)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after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Contribution</w:t>
      </w:r>
      <w:r>
        <w:rPr>
          <w:rFonts w:ascii="Times New Roman;Times;Serif" w:hAnsi="Times New Roman;Times;Serif"/>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ind w:left="720" w:right="0" w:hanging="0"/>
        <w:jc w:val="both"/>
        <w:rPr/>
      </w:pPr>
      <w:r>
        <w:rPr/>
        <w:t> </w:t>
      </w:r>
    </w:p>
    <w:p>
      <w:pPr>
        <w:pStyle w:val="TextBody"/>
        <w:bidi w:val="0"/>
        <w:ind w:left="720" w:right="0" w:firstLine="1080"/>
        <w:jc w:val="both"/>
        <w:rPr>
          <w:rFonts w:ascii="Times New Roman;Times;Serif" w:hAnsi="Times New Roman;Times;Serif"/>
          <w:sz w:val="20"/>
        </w:rPr>
      </w:pPr>
      <w:r>
        <w:rPr>
          <w:rFonts w:ascii="Times New Roman;Times;Serif" w:hAnsi="Times New Roman;Times;Serif"/>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ind w:left="720" w:right="0" w:hanging="0"/>
        <w:jc w:val="both"/>
        <w:rPr/>
      </w:pPr>
      <w:r>
        <w:rPr/>
        <w:t> </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The indemnity and contribution agreements contained in this Section 5 are in addition to any liability that the Indemnifying Parties may have to the Indemnified Parties.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Remedies</w:t>
      </w:r>
      <w:r>
        <w:rPr>
          <w:rFonts w:ascii="Times New Roman;Times;Serif" w:hAnsi="Times New Roman;Times;Serif"/>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No Piggyback on Registrations</w:t>
      </w:r>
      <w:r>
        <w:rPr>
          <w:rFonts w:ascii="Times New Roman;Times;Serif" w:hAnsi="Times New Roman;Times;Serif"/>
          <w:sz w:val="20"/>
        </w:rPr>
        <w:t xml:space="preserve">. Neither the Company nor any of its security holders (other than the Holders in such capacity pursuant hereto) may include securities of the Company in any Registration Statements other than the Registrable Securities. </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Discontinued Disposition</w:t>
      </w:r>
      <w:r>
        <w:rPr>
          <w:rFonts w:ascii="Times New Roman;Times;Serif" w:hAnsi="Times New Roman;Times;Serif"/>
          <w:sz w:val="20"/>
        </w:rPr>
        <w:t>. By its acquisition of Registrable Securities, each Holder agrees that, upon receipt of a notice from the Company of the occurrence of any event of the kind described in Section 3(d)(iii) through (v), such Holder will forthwith discontinue disposition of such Registrable Securities under a Registration Statement until it is advised in writing (the “</w:t>
      </w:r>
      <w:r>
        <w:rPr>
          <w:rFonts w:ascii="Times New Roman;Times;Serif" w:hAnsi="Times New Roman;Times;Serif"/>
          <w:sz w:val="20"/>
          <w:u w:val="single"/>
        </w:rPr>
        <w:t>Advice</w:t>
      </w:r>
      <w:r>
        <w:rPr>
          <w:rFonts w:ascii="Times New Roman;Times;Serif" w:hAnsi="Times New Roman;Times;Serif"/>
          <w:sz w:val="20"/>
        </w:rPr>
        <w:t>”)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 except to the extent such periods are permitted under Section 3(j).</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Amendments and Waivers</w:t>
      </w:r>
      <w:r>
        <w:rPr>
          <w:rFonts w:ascii="Times New Roman;Times;Serif" w:hAnsi="Times New Roman;Times;Serif"/>
          <w:sz w:val="20"/>
        </w:rPr>
        <w:t>. Any amendments to or waivers with respect to this Agreement shall be made in accordance with Section 5.5 of the Purchase Agreement. Notwithstanding the foregoing, any amendment or waiver on behalf of the Company shall require the approval of an executive officer of the Company other than Joseph Hammer.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Notices</w:t>
      </w:r>
      <w:r>
        <w:rPr>
          <w:rFonts w:ascii="Times New Roman;Times;Serif" w:hAnsi="Times New Roman;Times;Serif"/>
          <w:sz w:val="20"/>
        </w:rPr>
        <w:t xml:space="preserve">. Any and all notices or other communications or deliveries required or permitted to be provided hereunder shall be delivered as set forth in the Purchase Agreement.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Successors and Assigns</w:t>
      </w:r>
      <w:r>
        <w:rPr>
          <w:rFonts w:ascii="Times New Roman;Times;Serif" w:hAnsi="Times New Roman;Times;Serif"/>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 Inconsistent Agreements</w:t>
      </w:r>
      <w:r>
        <w:rPr>
          <w:rFonts w:ascii="Times New Roman;Times;Serif" w:hAnsi="Times New Roman;Times;Serif"/>
          <w:sz w:val="20"/>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(it being agreed that the commencement of any “at the market” offering in the manner contemplated by the Purchase Agreement, or the filing of any registration statement for the Company’s own account in accordance with the limits of Section 4.13 of the Purchase Agreement shall not be deemed to impair such rights). Except as set forth on </w:t>
      </w:r>
      <w:r>
        <w:rPr>
          <w:rFonts w:ascii="Times New Roman;Times;Serif" w:hAnsi="Times New Roman;Times;Serif"/>
          <w:sz w:val="20"/>
          <w:u w:val="single"/>
        </w:rPr>
        <w:t>Schedule 6(g)</w:t>
      </w:r>
      <w:r>
        <w:rPr>
          <w:rFonts w:ascii="Times New Roman;Times;Serif" w:hAnsi="Times New Roman;Times;Serif"/>
          <w:sz w:val="20"/>
        </w:rPr>
        <w:t>, neither the Company nor any of its Subsidiaries has previously entered into any agreement granting any registration rights with respect to any of its securities to any Person.</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Execution and Counterparts</w:t>
      </w:r>
      <w:r>
        <w:rPr>
          <w:rFonts w:ascii="Times New Roman;Times;Serif" w:hAnsi="Times New Roman;Times;Serif"/>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Agreement shall be determined in accordance with the provisions of the Purchase Agreement.</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Cumulative Remedies</w:t>
      </w:r>
      <w:r>
        <w:rPr>
          <w:rFonts w:ascii="Times New Roman;Times;Serif" w:hAnsi="Times New Roman;Times;Serif"/>
          <w:sz w:val="20"/>
        </w:rPr>
        <w:t>. The remedies provided herein are cumulative and not exclusive of any other remedies provided by law.</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(k)                </w:t>
      </w:r>
      <w:r>
        <w:rPr>
          <w:rFonts w:ascii="Times New Roman;Times;Serif" w:hAnsi="Times New Roman;Times;Serif"/>
          <w:sz w:val="20"/>
          <w:u w:val="single"/>
        </w:rPr>
        <w:t>Severability</w:t>
      </w:r>
      <w:r>
        <w:rPr>
          <w:rFonts w:ascii="Times New Roman;Times;Serif" w:hAnsi="Times New Roman;Times;Serif"/>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(l)                 </w:t>
      </w:r>
      <w:r>
        <w:rPr>
          <w:rFonts w:ascii="Times New Roman;Times;Serif" w:hAnsi="Times New Roman;Times;Serif"/>
          <w:sz w:val="20"/>
          <w:u w:val="single"/>
        </w:rPr>
        <w:t>Headings</w:t>
      </w:r>
      <w:r>
        <w:rPr>
          <w:rFonts w:ascii="Times New Roman;Times;Serif" w:hAnsi="Times New Roman;Times;Serif"/>
          <w:sz w:val="20"/>
        </w:rPr>
        <w:t>. The headings in this Agreement are for convenience only, do not constitute a part of the Agreement and shall not be deemed to limit or affect any of the provisions hereof.</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(m)              </w:t>
      </w:r>
      <w:r>
        <w:rPr>
          <w:rFonts w:ascii="Times New Roman;Times;Serif" w:hAnsi="Times New Roman;Times;Serif"/>
          <w:sz w:val="20"/>
          <w:u w:val="single"/>
        </w:rPr>
        <w:t>Independent Nature of Holders’ Obligations and Rights</w:t>
      </w:r>
      <w:r>
        <w:rPr>
          <w:rFonts w:ascii="Times New Roman;Times;Serif" w:hAnsi="Times New Roman;Times;Serif"/>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ind w:left="720" w:right="0" w:hanging="0"/>
        <w:jc w:val="both"/>
        <w:rPr/>
      </w:pPr>
      <w:r>
        <w:rPr/>
        <w:t> </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 xml:space="preserve">(n)                </w:t>
      </w:r>
      <w:r>
        <w:rPr>
          <w:rFonts w:ascii="Times New Roman;Times;Serif" w:hAnsi="Times New Roman;Times;Serif"/>
          <w:sz w:val="20"/>
          <w:u w:val="single"/>
        </w:rPr>
        <w:t>Effect of Amendment and Restatement</w:t>
      </w:r>
      <w:r>
        <w:rPr>
          <w:rFonts w:ascii="Times New Roman;Times;Serif" w:hAnsi="Times New Roman;Times;Serif"/>
          <w:sz w:val="20"/>
        </w:rPr>
        <w:t>. This Agreement amends, restates and supersedes the Original RRA in its entirety. Each Holder waives any Event or claim arising under the Original RRA on or prior to the date hereof, including in respect of any registration of shares of Common Stock issuable upon conversion of preferred stock of the Company.</w:t>
      </w:r>
    </w:p>
    <w:p>
      <w:pPr>
        <w:pStyle w:val="TextBody"/>
        <w:bidi w:val="0"/>
        <w:jc w:val="both"/>
        <w:rPr/>
      </w:pPr>
      <w:r>
        <w:rPr/>
        <w:t> </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120"/>
        <w:ind w:left="0" w:right="0" w:hanging="0"/>
        <w:jc w:val="left"/>
        <w:rPr/>
      </w:pPr>
      <w:r>
        <w:rPr/>
        <w:t> </w:t>
      </w:r>
    </w:p>
    <w:p>
      <w:pPr>
        <w:pStyle w:val="TextBody"/>
        <w:bidi w:val="0"/>
        <w:jc w:val="center"/>
        <w:rPr>
          <w:rFonts w:ascii="Times New Roman;Times;Serif" w:hAnsi="Times New Roman;Times;Serif"/>
          <w:b w:val="false"/>
          <w:i/>
          <w:sz w:val="20"/>
        </w:rPr>
      </w:pPr>
      <w:r>
        <w:rPr>
          <w:rFonts w:ascii="Times New Roman;Times;Serif" w:hAnsi="Times New Roman;Times;Serif"/>
          <w:b w:val="false"/>
          <w:i/>
          <w:sz w:val="20"/>
        </w:rPr>
        <w:t>(Signature Pages Follow)</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both"/>
        <w:rPr/>
      </w:pPr>
      <w:r>
        <w:rPr/>
        <w:t> </w:t>
      </w:r>
    </w:p>
    <w:p>
      <w:pPr>
        <w:pStyle w:val="TextBody"/>
        <w:bidi w:val="0"/>
        <w:ind w:left="0" w:right="0" w:firstLine="1080"/>
        <w:jc w:val="both"/>
        <w:rPr>
          <w:rFonts w:ascii="Times New Roman;Times;Serif" w:hAnsi="Times New Roman;Times;Serif"/>
          <w:sz w:val="20"/>
        </w:rPr>
      </w:pPr>
      <w:r>
        <w:rPr>
          <w:rFonts w:ascii="Times New Roman;Times;Serif" w:hAnsi="Times New Roman;Times;Serif"/>
          <w:sz w:val="20"/>
        </w:rPr>
        <w:t>IN WITNESS WHEREOF, the parties have executed this Amended and Restated Registration Rights Agreement as of the date first written above.</w:t>
      </w:r>
    </w:p>
    <w:p>
      <w:pPr>
        <w:pStyle w:val="TextBody"/>
        <w:bidi w:val="0"/>
        <w:jc w:val="both"/>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jc w:val="both"/>
              <w:rPr>
                <w:rFonts w:ascii="Times New Roman;Times;Serif" w:hAnsi="Times New Roman;Times;Serif"/>
                <w:b/>
                <w:caps/>
                <w:sz w:val="20"/>
              </w:rPr>
            </w:pPr>
            <w:r>
              <w:rPr>
                <w:rFonts w:ascii="Times New Roman;Times;Serif" w:hAnsi="Times New Roman;Times;Serif"/>
                <w:b/>
                <w:caps/>
                <w:sz w:val="20"/>
              </w:rPr>
              <w:t>expion ENERGY, inc.</w:t>
            </w:r>
          </w:p>
          <w:p>
            <w:pPr>
              <w:pStyle w:val="TableContents"/>
              <w:bidi w:val="0"/>
              <w:jc w:val="both"/>
              <w:rPr/>
            </w:pPr>
            <w:r>
              <w:rPr/>
              <w:t> </w:t>
            </w:r>
          </w:p>
          <w:p>
            <w:pPr>
              <w:pStyle w:val="TableContents"/>
              <w:bidi w:val="0"/>
              <w:spacing w:before="0" w:after="283"/>
              <w:jc w:val="both"/>
              <w:rPr/>
            </w:pPr>
            <w:r>
              <w:rPr/>
              <w:t> </w:t>
            </w:r>
          </w:p>
        </w:tc>
      </w:tr>
      <w:tr>
        <w:trPr/>
        <w:tc>
          <w:tcPr>
            <w:tcW w:w="476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ind w:left="0" w:right="0" w:firstLine="360"/>
              <w:jc w:val="both"/>
              <w:rPr>
                <w:rFonts w:ascii="Times New Roman;Times;Serif" w:hAnsi="Times New Roman;Times;Serif"/>
                <w:sz w:val="20"/>
              </w:rPr>
            </w:pPr>
            <w:r>
              <w:rPr>
                <w:rFonts w:ascii="Times New Roman;Times;Serif" w:hAnsi="Times New Roman;Times;Serif"/>
                <w:sz w:val="20"/>
              </w:rPr>
              <w:t>Name:</w:t>
            </w:r>
          </w:p>
          <w:p>
            <w:pPr>
              <w:pStyle w:val="TableContents"/>
              <w:bidi w:val="0"/>
              <w:ind w:left="0" w:right="0" w:firstLine="360"/>
              <w:jc w:val="both"/>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283"/>
              <w:jc w:val="both"/>
              <w:rPr/>
            </w:pPr>
            <w:r>
              <w:rPr/>
              <w:t> </w:t>
            </w:r>
          </w:p>
        </w:tc>
      </w:tr>
    </w:tbl>
    <w:p>
      <w:pPr>
        <w:pStyle w:val="TextBody"/>
        <w:bidi w:val="0"/>
        <w:ind w:left="0" w:right="0" w:firstLine="288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 OF HOLDERS FOLLOWS]</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caps/>
          <w:sz w:val="20"/>
        </w:rPr>
      </w:pPr>
      <w:r>
        <w:rPr>
          <w:rFonts w:ascii="Times New Roman;Times;Serif" w:hAnsi="Times New Roman;Times;Serif"/>
          <w:caps/>
          <w:sz w:val="20"/>
        </w:rPr>
        <w:t>[SIGNATURE PAGE OF HOLDERS TO xpon A&amp;R RRA]</w:t>
      </w:r>
    </w:p>
    <w:p>
      <w:pPr>
        <w:pStyle w:val="TextBody"/>
        <w:bidi w:val="0"/>
        <w:jc w:val="center"/>
        <w:rPr>
          <w:caps/>
        </w:rPr>
      </w:pPr>
      <w:r>
        <w:rPr>
          <w:caps/>
        </w:rPr>
        <w:t> </w:t>
      </w:r>
    </w:p>
    <w:p>
      <w:pPr>
        <w:pStyle w:val="TextBody"/>
        <w:bidi w:val="0"/>
        <w:ind w:left="0" w:right="0" w:firstLine="72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Name of Holder: __________________________</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i/>
          <w:sz w:val="20"/>
        </w:rPr>
        <w:t>Signature of Authorized Signatory of Holder</w:t>
      </w:r>
      <w:r>
        <w:rPr>
          <w:rFonts w:ascii="Times New Roman;Times;Serif" w:hAnsi="Times New Roman;Times;Serif"/>
          <w:sz w:val="20"/>
        </w:rPr>
        <w:t>: __________________________</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Name of Authorized Signatory: _________________________</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Title of Authorized Signatory: __________________________</w:t>
      </w:r>
    </w:p>
    <w:p>
      <w:pPr>
        <w:pStyle w:val="TextBody"/>
        <w:bidi w:val="0"/>
        <w:ind w:left="720" w:right="0" w:firstLine="144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PAGES CONTINUE]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Annex 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PLAN OF DISTRIBUTION</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Annex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SELLING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ind w:left="0" w:right="0" w:hanging="0"/>
        <w:jc w:val="left"/>
        <w:rPr/>
      </w:pPr>
      <w:r>
        <w:rPr/>
        <w:t> </w:t>
      </w:r>
    </w:p>
    <w:p>
      <w:pPr>
        <w:pStyle w:val="TextBody"/>
        <w:bidi w:val="0"/>
        <w:spacing w:before="0" w:after="240"/>
        <w:ind w:left="0" w:right="0" w:firstLine="720"/>
        <w:jc w:val="right"/>
        <w:rPr>
          <w:rFonts w:ascii="Times New Roman;Times;Serif" w:hAnsi="Times New Roman;Times;Serif"/>
          <w:b/>
          <w:sz w:val="20"/>
        </w:rPr>
      </w:pPr>
      <w:r>
        <w:rPr>
          <w:rFonts w:ascii="Times New Roman;Times;Serif" w:hAnsi="Times New Roman;Times;Serif"/>
          <w:b/>
          <w:sz w:val="20"/>
        </w:rPr>
        <w:t>Annex C</w:t>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Selling Stockholder Notice and Questionnaire</w:t>
      </w:r>
    </w:p>
    <w:p>
      <w:pPr>
        <w:pStyle w:val="TextBody"/>
        <w:bidi w:val="0"/>
        <w:jc w:val="both"/>
        <w:rPr>
          <w:rFonts w:ascii="Times New Roman;Times;Serif" w:hAnsi="Times New Roman;Times;Serif"/>
          <w:sz w:val="20"/>
        </w:rPr>
      </w:pPr>
      <w:r>
        <w:rPr>
          <w:rFonts w:ascii="Times New Roman;Times;Serif" w:hAnsi="Times New Roman;Times;Serif"/>
          <w:sz w:val="20"/>
        </w:rPr>
        <w:t>[***]</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w:t>
      </w:r>
    </w:p>
    <w:p>
      <w:pPr>
        <w:pStyle w:val="TextBody"/>
        <w:bidi w:val="0"/>
        <w:spacing w:before="0" w:after="283"/>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60258</Words>
  <Characters>318839</Characters>
  <CharactersWithSpaces>382940</CharactersWithSpaces>
  <Paragraphs>1353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