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0" w:lineRule="exact"/>
        <w:rPr>
          <w:sz w:val="24"/>
          <w:szCs w:val="24"/>
          <w:color w:val="auto"/>
        </w:rPr>
      </w:pPr>
    </w:p>
    <w:p>
      <w:pPr>
        <w:spacing w:after="0" w:line="241" w:lineRule="exact"/>
        <w:rPr>
          <w:sz w:val="24"/>
          <w:szCs w:val="24"/>
          <w:color w:val="auto"/>
        </w:rPr>
      </w:pPr>
    </w:p>
    <w:p>
      <w:pPr>
        <w:ind w:left="1420" w:hanging="1311"/>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17"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333" w:lineRule="exact"/>
        <w:rPr>
          <w:sz w:val="24"/>
          <w:szCs w:val="24"/>
          <w:color w:val="auto"/>
        </w:rPr>
      </w:pPr>
    </w:p>
    <w:p>
      <w:pPr>
        <w:ind w:left="4360" w:right="860" w:hanging="4251"/>
        <w:spacing w:after="0" w:line="412" w:lineRule="auto"/>
        <w:tabs>
          <w:tab w:leader="none" w:pos="122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001-41347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600" w:type="dxa"/>
        <w:tblCellMar>
          <w:top w:w="0" w:type="dxa"/>
          <w:left w:w="0" w:type="dxa"/>
          <w:bottom w:w="0" w:type="dxa"/>
          <w:right w:w="0" w:type="dxa"/>
        </w:tblCellMar>
      </w:tblPr>
      <w:tr>
        <w:trPr>
          <w:trHeight w:val="216"/>
        </w:trPr>
        <w:tc>
          <w:tcPr>
            <w:tcW w:w="564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81-2701049</w:t>
            </w:r>
          </w:p>
        </w:tc>
      </w:tr>
      <w:tr>
        <w:trPr>
          <w:trHeight w:val="238"/>
        </w:trPr>
        <w:tc>
          <w:tcPr>
            <w:tcW w:w="564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302"/>
        </w:trPr>
        <w:tc>
          <w:tcPr>
            <w:tcW w:w="564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2025 SW Deerhound Avenue, Redmond, OR</w:t>
            </w:r>
          </w:p>
        </w:tc>
        <w:tc>
          <w:tcPr>
            <w:tcW w:w="374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97756</w:t>
            </w:r>
          </w:p>
        </w:tc>
      </w:tr>
      <w:tr>
        <w:trPr>
          <w:trHeight w:val="238"/>
        </w:trPr>
        <w:tc>
          <w:tcPr>
            <w:tcW w:w="564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(541) 797-6714</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tcBorders>
              <w:top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60" w:type="dxa"/>
            <w:vAlign w:val="bottom"/>
            <w:tcBorders>
              <w:top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9"/>
        </w:trPr>
        <w:tc>
          <w:tcPr>
            <w:tcW w:w="4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92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XPON</w:t>
            </w:r>
          </w:p>
        </w:tc>
        <w:tc>
          <w:tcPr>
            <w:tcW w:w="446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 w:lineRule="exact"/>
        <w:rPr>
          <w:sz w:val="24"/>
          <w:szCs w:val="24"/>
          <w:color w:val="auto"/>
        </w:rPr>
      </w:pPr>
    </w:p>
    <w:p>
      <w:pPr>
        <w:ind w:right="1640"/>
        <w:spacing w:after="0" w:line="26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4"/>
          <w:szCs w:val="24"/>
          <w:color w:val="auto"/>
        </w:rPr>
      </w:pPr>
    </w:p>
    <w:tbl>
      <w:tblPr>
        <w:tblLayout w:type="fixed"/>
        <w:tblInd w:w="1040" w:type="dxa"/>
        <w:tblCellMar>
          <w:top w:w="0" w:type="dxa"/>
          <w:left w:w="0" w:type="dxa"/>
          <w:bottom w:w="0" w:type="dxa"/>
          <w:right w:w="0" w:type="dxa"/>
        </w:tblCellMar>
      </w:tblPr>
      <w:tr>
        <w:trPr>
          <w:trHeight w:val="221"/>
        </w:trPr>
        <w:tc>
          <w:tcPr>
            <w:tcW w:w="21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Large accelerated filer</w:t>
            </w:r>
          </w:p>
        </w:tc>
        <w:tc>
          <w:tcPr>
            <w:tcW w:w="26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Non-accelerated filer</w:t>
            </w:r>
          </w:p>
        </w:tc>
        <w:tc>
          <w:tcPr>
            <w:tcW w:w="26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986"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based on the closing sale price as reported by the Nasdaq Capital Market on June 30, 2025, the last business day of the registrant’s most recently completed second fiscal quarter, was approximately $3.1 million. Shares of common stock beneficially owned by each executive officer, director and holder of more than 10% of common stock have been excluded in that such persons may be deemed to be affiliates.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11, 2026, there were 10,846,135 shares of the registrant’s common stock outstanding.</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DOCUMENTS INCORPORATED BY REFERENCE: </w:t>
      </w:r>
      <w:r>
        <w:rPr>
          <w:rFonts w:ascii="Times New Roman" w:cs="Times New Roman" w:eastAsia="Times New Roman" w:hAnsi="Times New Roman"/>
          <w:sz w:val="18"/>
          <w:szCs w:val="18"/>
          <w:color w:val="auto"/>
        </w:rPr>
        <w:t>Portions of the registrant’s definitive Proxy Statement on Schedule 14A relating to its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 to be filed with the Securities and Exchange Commission within 120 days after the end of the fiscal year covered by this Annual Report on Form 10-K are incorporated herein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2"/>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Expion360 Inc.</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80" w:type="dxa"/>
            <w:vAlign w:val="bottom"/>
            <w:gridSpan w:val="13"/>
          </w:tcPr>
          <w:p>
            <w:pPr>
              <w:jc w:val="center"/>
              <w:ind w:right="306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80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 AND INDUSTRY DATA</w:t>
            </w:r>
          </w:p>
        </w:tc>
        <w:tc>
          <w:tcPr>
            <w:tcW w:w="2440" w:type="dxa"/>
            <w:vAlign w:val="bottom"/>
            <w:gridSpan w:val="6"/>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EE"/>
              </w:rPr>
              <w:t>4</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80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2440" w:type="dxa"/>
            <w:vAlign w:val="bottom"/>
            <w:gridSpan w:val="6"/>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EE"/>
              </w:rPr>
              <w:t>6</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103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8"/>
              </w:rPr>
              <w:t>ITEM 1A. RISK FACTORS</w:t>
            </w:r>
          </w:p>
        </w:tc>
        <w:tc>
          <w:tcPr>
            <w:tcW w:w="8200" w:type="dxa"/>
            <w:vAlign w:val="bottom"/>
            <w:gridSpan w:val="2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0000EE"/>
                <w:w w:val="88"/>
              </w:rPr>
              <w:t>12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ITEM 1B. UNRESOLVED STAFF COMMENTS</w:t>
            </w: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0000EE"/>
              </w:rPr>
              <w:t>30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ITEM 1C. CYBERSECURITY</w:t>
            </w:r>
          </w:p>
        </w:tc>
        <w:tc>
          <w:tcPr>
            <w:tcW w:w="668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0000EE"/>
                <w:w w:val="88"/>
              </w:rPr>
              <w:t>31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ITEM 2. PROPERTIES</w:t>
            </w: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ITEM 3. LEGAL PROCEEDINGS</w:t>
            </w: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1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720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r>
      <w:tr>
        <w:trPr>
          <w:trHeight w:val="304"/>
        </w:trPr>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9840" w:type="dxa"/>
            <w:vAlign w:val="bottom"/>
            <w:gridSpan w:val="30"/>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33</w:t>
            </w:r>
          </w:p>
        </w:tc>
      </w:tr>
      <w:tr>
        <w:trPr>
          <w:trHeight w:val="304"/>
        </w:trPr>
        <w:tc>
          <w:tcPr>
            <w:tcW w:w="180" w:type="dxa"/>
            <w:vAlign w:val="bottom"/>
          </w:tcPr>
          <w:p>
            <w:pPr>
              <w:spacing w:after="0"/>
              <w:rPr>
                <w:sz w:val="24"/>
                <w:szCs w:val="24"/>
                <w:color w:val="auto"/>
              </w:rPr>
            </w:pPr>
          </w:p>
        </w:tc>
        <w:tc>
          <w:tcPr>
            <w:tcW w:w="898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w:t>
            </w:r>
          </w:p>
        </w:tc>
        <w:tc>
          <w:tcPr>
            <w:tcW w:w="13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03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196"/>
        </w:trPr>
        <w:tc>
          <w:tcPr>
            <w:tcW w:w="180" w:type="dxa"/>
            <w:vAlign w:val="bottom"/>
          </w:tcPr>
          <w:p>
            <w:pPr>
              <w:spacing w:after="0"/>
              <w:rPr>
                <w:sz w:val="17"/>
                <w:szCs w:val="17"/>
                <w:color w:val="auto"/>
              </w:rPr>
            </w:pPr>
          </w:p>
        </w:tc>
        <w:tc>
          <w:tcPr>
            <w:tcW w:w="31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ITEM 6. [RESERVED]</w:t>
            </w:r>
          </w:p>
        </w:tc>
        <w:tc>
          <w:tcPr>
            <w:tcW w:w="722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40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ITEM 7A. QUANTITATIVE AND QUALITATIVE DISCLOSURES ABOUT MARKET RISK</w:t>
            </w:r>
          </w:p>
        </w:tc>
        <w:tc>
          <w:tcPr>
            <w:tcW w:w="7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0000EE"/>
                <w:w w:val="88"/>
              </w:rPr>
              <w:t>45</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45</w:t>
            </w:r>
          </w:p>
        </w:tc>
      </w:tr>
      <w:tr>
        <w:trPr>
          <w:trHeight w:val="20"/>
        </w:trPr>
        <w:tc>
          <w:tcPr>
            <w:tcW w:w="18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45</w:t>
            </w: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58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ITEM 9A. CONTROLS AND PROCEDURES</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0000EE"/>
                <w:w w:val="88"/>
              </w:rPr>
              <w:t>45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9"/>
              </w:rPr>
              <w:t>ITEM 9B. OTHER INFORMATION</w:t>
            </w:r>
          </w:p>
        </w:tc>
        <w:tc>
          <w:tcPr>
            <w:tcW w:w="680" w:type="dxa"/>
            <w:vAlign w:val="bottom"/>
            <w:tcBorders>
              <w:top w:val="single" w:sz="8" w:color="0000EE"/>
            </w:tcBorders>
            <w:gridSpan w:val="5"/>
          </w:tcPr>
          <w:p>
            <w:pPr>
              <w:spacing w:after="0"/>
              <w:rPr>
                <w:sz w:val="17"/>
                <w:szCs w:val="17"/>
                <w:color w:val="auto"/>
              </w:rPr>
            </w:pPr>
          </w:p>
        </w:tc>
        <w:tc>
          <w:tcPr>
            <w:tcW w:w="688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0000EE"/>
                <w:w w:val="88"/>
              </w:rPr>
              <w:t>46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9"/>
              </w:rPr>
              <w:t>ITEM 9C. DISCLOSURE REGARDING FOREIGN JURISDICTIONS THAT PREVENT INSPECTION</w:t>
            </w:r>
          </w:p>
        </w:tc>
        <w:tc>
          <w:tcPr>
            <w:tcW w:w="274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0000EE"/>
                <w:w w:val="88"/>
              </w:rPr>
              <w:t>46</w:t>
            </w:r>
          </w:p>
        </w:tc>
      </w:tr>
      <w:tr>
        <w:trPr>
          <w:trHeight w:val="304"/>
        </w:trPr>
        <w:tc>
          <w:tcPr>
            <w:tcW w:w="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9760" w:type="dxa"/>
            <w:vAlign w:val="bottom"/>
            <w:gridSpan w:val="28"/>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47</w:t>
            </w:r>
          </w:p>
        </w:tc>
      </w:tr>
      <w:tr>
        <w:trPr>
          <w:trHeight w:val="304"/>
        </w:trPr>
        <w:tc>
          <w:tcPr>
            <w:tcW w:w="180" w:type="dxa"/>
            <w:vAlign w:val="bottom"/>
          </w:tcPr>
          <w:p>
            <w:pPr>
              <w:spacing w:after="0"/>
              <w:rPr>
                <w:sz w:val="24"/>
                <w:szCs w:val="24"/>
                <w:color w:val="auto"/>
              </w:rPr>
            </w:pPr>
          </w:p>
        </w:tc>
        <w:tc>
          <w:tcPr>
            <w:tcW w:w="65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376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47</w:t>
            </w:r>
          </w:p>
        </w:tc>
      </w:tr>
      <w:tr>
        <w:trPr>
          <w:trHeight w:val="196"/>
        </w:trPr>
        <w:tc>
          <w:tcPr>
            <w:tcW w:w="180" w:type="dxa"/>
            <w:vAlign w:val="bottom"/>
          </w:tcPr>
          <w:p>
            <w:pPr>
              <w:spacing w:after="0"/>
              <w:rPr>
                <w:sz w:val="17"/>
                <w:szCs w:val="17"/>
                <w:color w:val="auto"/>
              </w:rPr>
            </w:pPr>
          </w:p>
        </w:tc>
        <w:tc>
          <w:tcPr>
            <w:tcW w:w="32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712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r>
      <w:tr>
        <w:trPr>
          <w:trHeight w:val="196"/>
        </w:trPr>
        <w:tc>
          <w:tcPr>
            <w:tcW w:w="180" w:type="dxa"/>
            <w:vAlign w:val="bottom"/>
          </w:tcPr>
          <w:p>
            <w:pPr>
              <w:spacing w:after="0"/>
              <w:rPr>
                <w:sz w:val="17"/>
                <w:szCs w:val="17"/>
                <w:color w:val="auto"/>
              </w:rPr>
            </w:pPr>
          </w:p>
        </w:tc>
        <w:tc>
          <w:tcPr>
            <w:tcW w:w="103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876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1560" w:type="dxa"/>
            <w:vAlign w:val="bottom"/>
            <w:gridSpan w:val="4"/>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r>
      <w:tr>
        <w:trPr>
          <w:trHeight w:val="20"/>
        </w:trPr>
        <w:tc>
          <w:tcPr>
            <w:tcW w:w="18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r>
      <w:tr>
        <w:trPr>
          <w:trHeight w:val="196"/>
        </w:trPr>
        <w:tc>
          <w:tcPr>
            <w:tcW w:w="180" w:type="dxa"/>
            <w:vAlign w:val="bottom"/>
          </w:tcPr>
          <w:p>
            <w:pPr>
              <w:spacing w:after="0"/>
              <w:rPr>
                <w:sz w:val="17"/>
                <w:szCs w:val="17"/>
                <w:color w:val="auto"/>
              </w:rPr>
            </w:pPr>
          </w:p>
        </w:tc>
        <w:tc>
          <w:tcPr>
            <w:tcW w:w="846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186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r>
      <w:tr>
        <w:trPr>
          <w:trHeight w:val="20"/>
        </w:trPr>
        <w:tc>
          <w:tcPr>
            <w:tcW w:w="18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2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9780" w:type="dxa"/>
            <w:vAlign w:val="bottom"/>
            <w:gridSpan w:val="29"/>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48</w:t>
            </w:r>
          </w:p>
        </w:tc>
      </w:tr>
      <w:tr>
        <w:trPr>
          <w:trHeight w:val="304"/>
        </w:trPr>
        <w:tc>
          <w:tcPr>
            <w:tcW w:w="180" w:type="dxa"/>
            <w:vAlign w:val="bottom"/>
          </w:tcPr>
          <w:p>
            <w:pPr>
              <w:spacing w:after="0"/>
              <w:rPr>
                <w:sz w:val="24"/>
                <w:szCs w:val="24"/>
                <w:color w:val="auto"/>
              </w:rPr>
            </w:pPr>
          </w:p>
        </w:tc>
        <w:tc>
          <w:tcPr>
            <w:tcW w:w="52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512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48</w:t>
            </w:r>
          </w:p>
        </w:tc>
      </w:tr>
      <w:tr>
        <w:trPr>
          <w:trHeight w:val="196"/>
        </w:trPr>
        <w:tc>
          <w:tcPr>
            <w:tcW w:w="180" w:type="dxa"/>
            <w:vAlign w:val="bottom"/>
          </w:tcPr>
          <w:p>
            <w:pPr>
              <w:spacing w:after="0"/>
              <w:rPr>
                <w:sz w:val="17"/>
                <w:szCs w:val="17"/>
                <w:color w:val="auto"/>
              </w:rPr>
            </w:pPr>
          </w:p>
        </w:tc>
        <w:tc>
          <w:tcPr>
            <w:tcW w:w="26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 FORM 10-K SUMMARY</w:t>
            </w:r>
          </w:p>
        </w:tc>
        <w:tc>
          <w:tcPr>
            <w:tcW w:w="766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r>
      <w:tr>
        <w:trPr>
          <w:trHeight w:val="304"/>
        </w:trPr>
        <w:tc>
          <w:tcPr>
            <w:tcW w:w="105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EE"/>
              </w:rPr>
              <w:t>50</w:t>
            </w:r>
          </w:p>
        </w:tc>
      </w:tr>
      <w:tr>
        <w:trPr>
          <w:trHeight w:val="20"/>
        </w:trPr>
        <w:tc>
          <w:tcPr>
            <w:tcW w:w="1160" w:type="dxa"/>
            <w:vAlign w:val="bottom"/>
            <w:gridSpan w:val="7"/>
            <w:shd w:val="clear" w:color="auto" w:fill="0000EE"/>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730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5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INDEX TO FINANCIAL STATEMENTS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EE"/>
              </w:rPr>
              <w:t>51</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includes “forward-looking statements” within the meaning of Section 27A of the Securities Act of 1933, as amended (the “Securities Act”), and Section 21E of the Securities Exchange Act of 1934, as amended (the “Exchange Act”). All statements in this Annual Report, other than statements of historical fact, are “forward-looking statements” for purposes of these provisions, including, without limitation, any projections regarding the markets where we operate, any statements of the plans and objectives of our management for future operations, any statements concerning proposed new products or services, any statements regarding expected capital expenditures, any statements regarding future economic conditions or performance, and any statements of assumptions underlying any of the foregoing. All forward-looking statements included in this Annual Report are made as of the date hereof and are based on information available to us as of such date. We assume no obligation to update any forward-looking statement. In some cases, forward-looking statements can be identified by the use of terminology such as “may,” “will,” “expects,” “plans,” “should,” “anticipates,” “intends,” “seeks,” “believes,” “estimates,” “potential,” “forecasts,” “continue,” or other forms of these words or similar words or expressions, or the negative thereof or other comparable terminology. Although we believe the expectations reflected in the forward-looking statements contained herein are reasonable, there can be no assurance that such expectations or any of the forward-looking statements will prove to be correct. Prospective investors are cautioned not to unduly rely on any such forward-looking statements.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2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We operate in an extremely competitive industry and are subject to pricing pressures.</w:t>
      </w:r>
    </w:p>
    <w:p>
      <w:pPr>
        <w:spacing w:after="0" w:line="40" w:lineRule="exact"/>
        <w:rPr>
          <w:rFonts w:ascii="Times New Roman" w:cs="Times New Roman" w:eastAsia="Times New Roman" w:hAnsi="Times New Roman"/>
          <w:sz w:val="36"/>
          <w:szCs w:val="36"/>
          <w:color w:val="auto"/>
          <w:vertAlign w:val="subscript"/>
        </w:rPr>
      </w:pPr>
    </w:p>
    <w:p>
      <w:pPr>
        <w:ind w:left="660" w:hanging="652"/>
        <w:spacing w:after="0" w:line="180" w:lineRule="auto"/>
        <w:tabs>
          <w:tab w:leader="none" w:pos="660" w:val="left"/>
        </w:tabs>
        <w:numPr>
          <w:ilvl w:val="0"/>
          <w:numId w:val="3"/>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We have a history of losses. As our costs increase, we may not be able to generate sufficient revenue to achieve and sustain profitability.</w:t>
      </w:r>
    </w:p>
    <w:p>
      <w:pPr>
        <w:spacing w:after="0" w:line="40" w:lineRule="exact"/>
        <w:rPr>
          <w:rFonts w:ascii="Times New Roman" w:cs="Times New Roman" w:eastAsia="Times New Roman" w:hAnsi="Times New Roman"/>
          <w:sz w:val="25"/>
          <w:szCs w:val="25"/>
          <w:color w:val="auto"/>
          <w:vertAlign w:val="subscript"/>
        </w:rPr>
      </w:pPr>
    </w:p>
    <w:p>
      <w:pPr>
        <w:ind w:left="660" w:hanging="652"/>
        <w:spacing w:after="0" w:line="180" w:lineRule="auto"/>
        <w:tabs>
          <w:tab w:leader="none" w:pos="6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ind w:left="660" w:hanging="652"/>
        <w:spacing w:after="0" w:line="180" w:lineRule="auto"/>
        <w:tabs>
          <w:tab w:leader="none" w:pos="6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results of operations could be adversely affected by changes in the cost and availability of raw materials and our reliance on third-party manufacturers and suppliers.</w:t>
      </w:r>
    </w:p>
    <w:p>
      <w:pPr>
        <w:ind w:left="660" w:hanging="652"/>
        <w:spacing w:after="0"/>
        <w:tabs>
          <w:tab w:leader="none" w:pos="660" w:val="left"/>
        </w:tabs>
        <w:numPr>
          <w:ilvl w:val="0"/>
          <w:numId w:val="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Increases in costs, disruption of supply, or shortage of any of our battery components such as electronic and mechanical parts could harm our business.</w:t>
      </w:r>
    </w:p>
    <w:p>
      <w:pPr>
        <w:spacing w:after="0" w:line="41" w:lineRule="exact"/>
        <w:rPr>
          <w:rFonts w:ascii="Times New Roman" w:cs="Times New Roman" w:eastAsia="Times New Roman" w:hAnsi="Times New Roman"/>
          <w:sz w:val="34"/>
          <w:szCs w:val="34"/>
          <w:color w:val="auto"/>
          <w:vertAlign w:val="subscript"/>
        </w:rPr>
      </w:pPr>
    </w:p>
    <w:p>
      <w:pPr>
        <w:ind w:left="660" w:hanging="652"/>
        <w:spacing w:after="0" w:line="180" w:lineRule="auto"/>
        <w:tabs>
          <w:tab w:leader="none" w:pos="6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may not be able to raise additional capital on acceptable terms or at all, and our failure to obtain additional financing could adversely affect our ability to continue as a going concern.</w:t>
      </w:r>
    </w:p>
    <w:p>
      <w:pPr>
        <w:ind w:left="660" w:hanging="652"/>
        <w:spacing w:after="0" w:line="180" w:lineRule="auto"/>
        <w:tabs>
          <w:tab w:leader="none" w:pos="660" w:val="left"/>
        </w:tabs>
        <w:numPr>
          <w:ilvl w:val="0"/>
          <w:numId w:val="3"/>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Our business and future growth depends on the needs and success of our customers.</w:t>
      </w:r>
    </w:p>
    <w:p>
      <w:pPr>
        <w:spacing w:after="0" w:line="40" w:lineRule="exact"/>
        <w:rPr>
          <w:rFonts w:ascii="Times New Roman" w:cs="Times New Roman" w:eastAsia="Times New Roman" w:hAnsi="Times New Roman"/>
          <w:sz w:val="25"/>
          <w:szCs w:val="25"/>
          <w:color w:val="auto"/>
          <w:vertAlign w:val="subscript"/>
        </w:rPr>
      </w:pPr>
    </w:p>
    <w:p>
      <w:pPr>
        <w:ind w:left="660" w:hanging="652"/>
        <w:spacing w:after="0" w:line="180" w:lineRule="auto"/>
        <w:tabs>
          <w:tab w:leader="none" w:pos="6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have substantial customer concentration, with a limited number of customers accounting for a substantial portion of our sales, and the loss of or reduction in purchases by any of these customers could adversely affect our results of operations.</w:t>
      </w:r>
    </w:p>
    <w:p>
      <w:pPr>
        <w:ind w:left="660" w:hanging="652"/>
        <w:spacing w:after="0" w:line="180" w:lineRule="auto"/>
        <w:tabs>
          <w:tab w:leader="none" w:pos="660" w:val="left"/>
        </w:tabs>
        <w:numPr>
          <w:ilvl w:val="0"/>
          <w:numId w:val="3"/>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If we fail to expand our sales and distribution channels, our business could suffer.</w:t>
      </w:r>
    </w:p>
    <w:p>
      <w:pPr>
        <w:spacing w:after="0" w:line="40" w:lineRule="exact"/>
        <w:rPr>
          <w:rFonts w:ascii="Times New Roman" w:cs="Times New Roman" w:eastAsia="Times New Roman" w:hAnsi="Times New Roman"/>
          <w:sz w:val="25"/>
          <w:szCs w:val="25"/>
          <w:color w:val="auto"/>
          <w:vertAlign w:val="subscript"/>
        </w:rPr>
      </w:pPr>
    </w:p>
    <w:p>
      <w:pPr>
        <w:ind w:left="660" w:hanging="652"/>
        <w:spacing w:after="0" w:line="180" w:lineRule="auto"/>
        <w:tabs>
          <w:tab w:leader="none" w:pos="660" w:val="left"/>
        </w:tabs>
        <w:numPr>
          <w:ilvl w:val="0"/>
          <w:numId w:val="3"/>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The uncertainty in global economic conditions could negatively affect our results of operations.</w:t>
      </w:r>
    </w:p>
    <w:p>
      <w:pPr>
        <w:spacing w:after="0" w:line="40" w:lineRule="exact"/>
        <w:rPr>
          <w:rFonts w:ascii="Times New Roman" w:cs="Times New Roman" w:eastAsia="Times New Roman" w:hAnsi="Times New Roman"/>
          <w:sz w:val="25"/>
          <w:szCs w:val="25"/>
          <w:color w:val="auto"/>
          <w:vertAlign w:val="subscript"/>
        </w:rPr>
      </w:pPr>
    </w:p>
    <w:p>
      <w:pPr>
        <w:ind w:left="660" w:hanging="652"/>
        <w:spacing w:after="0" w:line="180" w:lineRule="auto"/>
        <w:tabs>
          <w:tab w:leader="none" w:pos="660" w:val="left"/>
        </w:tabs>
        <w:numPr>
          <w:ilvl w:val="0"/>
          <w:numId w:val="3"/>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Tariffs on imported battery components may increase our costs, and we may be unable to fully mitigate such increases.</w:t>
      </w:r>
    </w:p>
    <w:p>
      <w:pPr>
        <w:spacing w:after="0" w:line="40" w:lineRule="exact"/>
        <w:rPr>
          <w:rFonts w:ascii="Times New Roman" w:cs="Times New Roman" w:eastAsia="Times New Roman" w:hAnsi="Times New Roman"/>
          <w:sz w:val="25"/>
          <w:szCs w:val="25"/>
          <w:color w:val="auto"/>
          <w:vertAlign w:val="subscript"/>
        </w:rPr>
      </w:pPr>
    </w:p>
    <w:p>
      <w:pPr>
        <w:ind w:left="660" w:right="20" w:hanging="652"/>
        <w:spacing w:after="0" w:line="180" w:lineRule="auto"/>
        <w:tabs>
          <w:tab w:leader="none" w:pos="6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are currently, and will likely continue to be, dependent on a limited number of warehouse facilities. If our facilities become inoperable for any reason, our ability to produce our products could be negatively impacted.</w:t>
      </w:r>
    </w:p>
    <w:p>
      <w:pPr>
        <w:ind w:left="660" w:hanging="652"/>
        <w:spacing w:after="0" w:line="180" w:lineRule="auto"/>
        <w:tabs>
          <w:tab w:leader="none" w:pos="6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could face potential product liability or warranty claims relating to our products, including the components thereof, which could reduce market adoption, result in reputation damage, and result in significant costs and liabilities, which would reduce our profitability.</w:t>
      </w:r>
    </w:p>
    <w:p>
      <w:pPr>
        <w:ind w:left="660" w:hanging="652"/>
        <w:spacing w:after="0" w:line="180" w:lineRule="auto"/>
        <w:tabs>
          <w:tab w:leader="none" w:pos="660" w:val="left"/>
        </w:tabs>
        <w:numPr>
          <w:ilvl w:val="0"/>
          <w:numId w:val="3"/>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Our operations expose us to litigation, tax, environmental, and other legal compliance risks.</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hanging="652"/>
        <w:spacing w:after="0" w:line="184" w:lineRule="auto"/>
        <w:tabs>
          <w:tab w:leader="none" w:pos="660" w:val="left"/>
        </w:tabs>
        <w:numPr>
          <w:ilvl w:val="0"/>
          <w:numId w:val="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Our failure to introduce new products and product enhancements that respond to customer and end consumer demand, and any broad market acceptance of new technologies introduced by our competitors, could adversely affect our business.</w:t>
      </w:r>
    </w:p>
    <w:p>
      <w:pPr>
        <w:ind w:left="66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may not be able to adequately protect our proprietary intellectual property and technology and we may need to defend ourselves against intellectual property infringement claims.</w:t>
      </w:r>
    </w:p>
    <w:p>
      <w:pPr>
        <w:ind w:left="66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Any acquisitions that we complete may dilute stockholder ownership interests in the Company, may have adverse effects on our financial condition and results of operations and may cause unanticipated liabilities.</w:t>
      </w:r>
    </w:p>
    <w:p>
      <w:pPr>
        <w:ind w:left="66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If our electronic data is compromised, or we experience a failure in our information technology or storage systems, our business could be significantly harmed.</w:t>
      </w:r>
    </w:p>
    <w:p>
      <w:pPr>
        <w:ind w:left="660" w:right="2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ability to raise capital in the future may be limited, which could make us unable to fund our capital requirements and our stockholders may be diluted by future securities offerings.</w:t>
      </w:r>
    </w:p>
    <w:p>
      <w:pPr>
        <w:ind w:left="66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depend on our senior management team and other key employees, and significant attrition within our management team or unsuccessful succession planning could adversely affect our business.</w:t>
      </w:r>
    </w:p>
    <w:p>
      <w:pPr>
        <w:ind w:left="66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may fail to maintain compliance with the continued listing requirements of The Nasdaq Capital Market, which could result in the delisting of our common stock.</w:t>
      </w:r>
    </w:p>
    <w:p>
      <w:pPr>
        <w:ind w:left="660" w:hanging="652"/>
        <w:spacing w:after="0" w:line="180" w:lineRule="auto"/>
        <w:tabs>
          <w:tab w:leader="none" w:pos="660" w:val="left"/>
        </w:tabs>
        <w:numPr>
          <w:ilvl w:val="0"/>
          <w:numId w:val="4"/>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Our stock price may fluctuate significantly, and you may lose all or a part of your investment.</w:t>
      </w:r>
    </w:p>
    <w:p>
      <w:pPr>
        <w:spacing w:after="0" w:line="40" w:lineRule="exact"/>
        <w:rPr>
          <w:rFonts w:ascii="Times New Roman" w:cs="Times New Roman" w:eastAsia="Times New Roman" w:hAnsi="Times New Roman"/>
          <w:sz w:val="25"/>
          <w:szCs w:val="25"/>
          <w:color w:val="auto"/>
          <w:vertAlign w:val="subscript"/>
        </w:rPr>
      </w:pPr>
    </w:p>
    <w:p>
      <w:pPr>
        <w:ind w:left="66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Sales of substantial amounts of our securities in the public markets, including sales under our at-the-market program, or the perception that such sales might occur, could reduce the price of our securities and may dilute your voting power and your ownership interest in us.</w:t>
      </w:r>
    </w:p>
    <w:p>
      <w:pPr>
        <w:ind w:left="66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exercise of outstanding warrants may result in a substantial increase in the number of shares of our common stock that are outstanding, which would result in dilution to our stockholders.</w:t>
      </w:r>
    </w:p>
    <w:p>
      <w:pPr>
        <w:ind w:left="660" w:right="2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Series A Warrants and Series B Warrants may have an adverse effect on the market price of our common stock and make it more difficult to effect a business combination.</w:t>
      </w:r>
    </w:p>
    <w:p>
      <w:pPr>
        <w:ind w:left="660" w:hanging="652"/>
        <w:spacing w:after="0" w:line="180" w:lineRule="auto"/>
        <w:tabs>
          <w:tab w:leader="none" w:pos="66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long-term lease and debt obligations could adversely affect our ability to raise additional capital to fund operations and limit our ability to enter into certain transactions.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and other risks and uncertainties are described in greater detail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this Annual Report. All forward-looking statements attributable to us or persons acting on our behalf are expressly qualified in their entirety by these cautionary statements. Our actual results will likely differ, and may differ materially, from anticipated results. Financial estimates are subject to change and are not intended to be relied upon as predictions of future results of operations, and we assume no obligation to update or disclose revisions to those estimates except as required by applicable law. If we do update or correct one or more forward-looking statements, investors and others should not conclude that we will make additional updates or corrections.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products include several key assumptions based on our industry knowledge, industry publications, third-party research, and other surveys, which may be based on a small sample size and may fail to accurately reflect market opportunities. While we believe our internal assumptions are reasonable, no independent source has verified such assumptions.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REGARDING 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includes trademarks, tradenames, and service marks that are our property or the property of others.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Unless otherwise noted, prior period results included in this Annual Report, including share and per share data, as well as stockholders’ equity balances, have been adjusted retroactively, as applicable, to reflect a 1-for-100 reverse stock split, which was effective at 5:00 p.m. Pacific Time on October 8, 2024 (the “Reverse Stock Split”). See “</w:t>
      </w:r>
      <w:r>
        <w:rPr>
          <w:rFonts w:ascii="Times New Roman" w:cs="Times New Roman" w:eastAsia="Times New Roman" w:hAnsi="Times New Roman"/>
          <w:sz w:val="18"/>
          <w:szCs w:val="18"/>
          <w:i w:val="1"/>
          <w:iCs w:val="1"/>
          <w:color w:val="231F20"/>
        </w:rPr>
        <w:t>Management’s Discussion and Analysis of Financial Condition and Results of Operations—</w:t>
      </w:r>
      <w:r>
        <w:rPr>
          <w:rFonts w:ascii="Times New Roman" w:cs="Times New Roman" w:eastAsia="Times New Roman" w:hAnsi="Times New Roman"/>
          <w:sz w:val="18"/>
          <w:szCs w:val="18"/>
          <w:i w:val="1"/>
          <w:iCs w:val="1"/>
          <w:color w:val="212529"/>
        </w:rPr>
        <w:t>Reverse Stock Split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12529"/>
        </w:rPr>
        <w:t>Reverse Stock Split True-Up Payment</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31F20"/>
        </w:rPr>
        <w:t>below for additional information about the Reverse Stock Split.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Expion360 focuses on the design, assembly, manufacturing, and sale of lithium iron phosphate (“LiFePO4”) batteries and supporting accessories for recreational vehicles (“RVs”), marine, and industrial applications. Our high-powered lithium battery solutions incorporate innovative concepts and have been designed to include some of the most dense and minimal-footprint batteries in the RV and marine industries. In addition, we deploy intellectual property strategies to support product development, enhance safety and performance, and strengthen relationships across our target markets. This includes design, development and collaboration, using our IP to bring safety, quality and service to our current customers and to build relationships with customers in a variety of industries. Our customers consist of dealers, wholesalers, private-label customers, and original equipment manufacturers (“OEMs”) who then sell our products to end consumers and drive brand awareness nationally.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target markets include the RV, marine, and industrial power sectors. We believe the ongoing transition from traditional lead-acid batteries to LiFePO4 battery systems as the preferred power storage solution presents growth opportunities across these industries. In addition to the RV and marine markets, we are expanding our focus to include industrial, construction, surveillance, remote monitoring, and other mission-critical applications requiring reliable, high-energy-density battery systems. We are also pursuing opportunities within the electric forklift and industrial material handling markets, where lithium battery adoption continues to increase.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launched our e360 product line in December 2020, initially targeting the RV and marine industries. Through continued sales growth and product development, the e360 product line has gained adoption among customers transitioning from lead-acid battery systems. We have since expanded our product portfolio to include next-generation lithium battery models designed to increase capacity, improve energy density, enhance manufacturability, and expand integration capabilities for OEM and industrial applications. These products are intended to support mobile and off-grid systems for construction, industrial power, surveillance, and remote monitoring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operate Expion360 as one reportable business segment, Energy Storage (ES).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products provide numerous advantages for various industries that are looking to migrate to lithium-based energy storage. They incorporate detailed design and engineering, strong case materials, optimized internal structural layouts, and are supported by responsive customer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Lithium-based batteries power a broad range of applications, from consumer electronics to transportation systems and national defense infrastructure. They support electrification trends across multiple industries and enable both mobile and stationary energy storage solutions. The United States maintains a strong research ecosystem and an emerging domestic battery manufacturing base, supported by federal initiatives aimed at strengthening supply chains and advancing battery technology, according to the U.S. Department of Energy.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Expion360 currently focuses on the deep cycle, off-grid, RV, marine, industrial, and specialty vehicle markets, where high-performance LiFePO4 battery systems are increasingly displacing legacy lead-acid solutions. These applications require lightweight, high-energy-density, and durable power systems capable of operating in varied and demanding environmental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RV market was valued at approximately $60.7 billion in 2022 and is projected to grow at a compound annual growth rate (CAGR) of 11.5% from 2023 through 2030, reaching an estimated $144.55 billion by 2031, according to Grand View Research. Increasing electrification within RV platforms, including off-grid and extended-runtime applications, continues to support adoption of lithium-based battery systems.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 broadly, trends toward equipment electrification, reduced generator runtime, remote monitoring infrastructure, and mobile industrial applications are contributing to sustained demand for advanced battery systems. According to IMARC, the global lithium-ion battery market exceeded $150 billion in 2025 and continues to expand as electrification advances across transportation, industrial, and specialty equipment sectors.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Beyond our established presence in RV and marine applications, we are evaluating opportunities in adjacent light electric vehicle, surveillance, and remote monitoring applications that require high-reliability battery systems. According to Precedence Research, the global light electric vehicle market was estimated at $107 billion in 2025 and is projected to reach $268 billion by 2035. While these adjacent markets represent potential long-term growth opportunities, our current commercial focus remains concentrated in deep-cycle, recreational, and specialty-use applications.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compact form factor, modularity, and high energy density of our lithium battery systems position us to address applications requiring lightweight, high-capacity power solutions across RVs, marine systems, industrial equipment, and remote monitoring applications.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currently manufacture battery cells domestically, we monitor developments in U.S. supply chain policy and manufacturing initiatives that may influence the industry over time. We periodically evaluate strategic opportunities that could align with our long-term objectives; however, our current operations rely primarily on established offshore third-party manufacturing partners. Domestic supply chain initiatives represent potential future developments rather than current operational drivers.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differentiate Expion360 and create long-term, sustainable competitive advantages: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Capacity to Lead-Acid Competitors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Lead-acid batteries have historically been the standard in RV and marine transportation vehicles, but these industries are experiencing a rapid conversion from lead-acid to lithium batteries as the primary method of power sourcing. Our lithium-ion batteries are designed to offer superior capacity to traditional lead-acid batteries, with an expected lifespan of approximately 12 years under standard operating conditions—three to four times that of certain lead-acid batteries—and ten times the number of charge cycles. Furthermore, our typical battery may provide three times the power of the typical, lead-acid battery despite being half the weight (comparing, for example, a typical lead-acid battery like the Renogy Deep Cycle AGM, which is rated at 100Ah, to our own LFP 100Ah battery and assuming slow discharge at a 1C rate).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offer a 4.5 Ah 26650 lithium-ion phosphate battery cell, which allows us to increase energy density by over 32% compared to traditional 3.4 Ah 26650 cells.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proprietary e360 SmartTalk mobile app is included in many of our battery models and allows the seamless integration and management of e360 Bluetooth-enabled LiFePO4 batteries. The technology enables users to wirelessly monitor and manage e360 batteries, providing a comprehensive view of both individual battery conditions and performance as well as information about a power bank consisting of multiple e360 batteries. Our 48 Volt GC2 LiFePO4 battery was the first model to incorporate e360 SmartTalk for electric golf carts and other light electric vehicle applications.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introduced our next generation 12V GC2 and Group 27 series LiFePO4 batteries incorporating higher amp-hour cell options (4.0Ah and 4.5Ah) and the latest technology, including our proprietary Vertical Heat Conduction™ internal heating, Bluetooth®, and controller area network (“CANBus”) communication. We also launched the Edge battery in 2024, which offers a slim design designed to provide installation flexibility. The Edge is offered in both 12V and 48V configurations.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2026, we announced plans to release three next-generation lithium-ion battery models expected to be commercially available in the second half of 2026. The new models include upgraded Group 27 (12.8V 140Ah), GC2H (12.8V 180Ah), and EX1 (12.8V 420Ah) batteries, each designed to increase capacity relative to prior generations. These platforms incorporate our VHC™ internal heating technology, SmartTalk™ Bluetooth connectivity, and CANBus communication, and are engineered to meet UL 1973 safety standards, with final certification pending. The redesigned batteries are also intended to support manufacturing efficiencies and margin improvement initiatives.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Also in February 2026, we entered into a strategic partnership with Dealer Accessory Supply (“DAS”) related to the launch of the DASGen Hybrid Energy Storage System, representing our entry into the industrial energy storage market. DASGen is designed to function as an energy buffer between diesel generators and jobsite electrical loads and is intended to support reduced generator runtime, subject to site conditions and usage. Under the partnership, DAS serves as the final system assembler, while we supply the battery technology and lead sales and marketing efforts. The system utilizes our lithium iron phosphate battery platform and is integrated with industrial power electronics. Initial field deployments have been completed, with performance dependent on site-specific operating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National Retail Customers and Distribution Channels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sales relationships with major RV and marine retailers and plan to use our strong reputation in the lithium battery space to create an even stronger distribution channel. We have decades of experience in the energy and RV industries and cultivate relationships with numerous retailers in the space, including Camping World, a leading national RV retailer; and Keystone Automotive, a leading national marketer and distributor of automotive and RV specialty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Expion360 Products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historically focused on the design, assembly, and sale of LiFePO4 batteries and supporting accessories for RV and marine applications, and have recently expanded into home energy storage solutions and the industrial energy storage market. Our batteries are designed and engineered in-house using premium lithium iron phosphate cells with quality controls at every step. We use high-grade LiFePO4 batteries meeting the UL 1642 standard (UL File No. MH64383). We believe our materials and engineering enhance the reliability, stability, and safety of our products relative to those of our competitors. We reimagined the standard battery case and included built-in rubber feet, radiused corners, 96.7% larger terminal connection pads, interior molded ribs for structural security, and the highest-grade ABS plastics with additives for fire retardancy. To maximize the power and efficiency of our batteries, we welded our cells via thick copper/tin-machined collector plates, welded all interior pack points, added a press break flange at each end to create a mechanical backbone for the battery monitoring system (“BMS”), used high-grade wiring and ring terminals throughout, and treated connections with industrial epoxy for long-lasting protection. Our internal “smart” BMS design includes multiple safety and performance features, such as low temperature discharge, auto shutoff, short circuit protection, low- and high-voltage shutoffs, and overcurrent disconnect. Our structurally sound BMS board features a bolted design, eliminating all unnecessary solder, resulting in one cohesive pack with a long lifespan. We hold our lithium batteries to high safety standards, which has enabled us to achieve a UL 1973 compliance. We stand by our batteries with a robust 12-year warranty.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enable us to provide a full range of components to complement our battery offerings, we offer a suite of accessories and components for new installations or conversions which includes but is not limited to chargers, monitors, inverters, and solar components from brands such as Victron Energy and RedArc.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include lithium-ion battery manufacturers, such as Relion (which was acquired by Brunswick Corporation in September 2021); Dragonfly Energy Holdings Corp (Nasdaq: DFLI), the manufacturer of Battle Born Batteries; Renogy; and Dakota Lithium. Lead-acid battery manufactures also continue to have a presence in the marketplace. We have designed custom form factors in both the industry standard Group 24 and Group 27 battery sizes allowing us to visually and structurally differentiate Expion360 within the market space. We believe our custom EX1 battery also provides a unique capacity to footprint ratio compared to lead-acid and lithium battery competitors. Our lithium iron phosphate batteries are designed to provide improved cycle life, energy density, and weight relative to traditional lead-acid batteries.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batteries are manufactured by multiple third-party manufacturers located in Asia, which also produce our battery cells. While we do not have long-term purchase agreements with these manufacturers and generally transact on a purchase order basis, we maintain strong relationships with our manufacturers and cell suppliers, which historically have enabled us to increase our purchase volumes and qualify for volume-based discounts. The strength of these relationships has helped us moderate increased supply-related costs associated with inflation, currency fluctuations, and U.S. government tariffs imposed on our imports, and avoid potential shipment delays. We aim to maintain an appropriate level of inventory to satisfy our expected supply requirements. We believe we could locate suitable alternative third-party manufacturers to fulfill our requirements if needed.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third-party manufacturers source the raw materials and battery components required for the production of our batteries directly from third-party suppliers that meet our approval and quality standards and, as a result, we may have limited control over the agreed pricing for these raw materials and battery components. We estimate that raw material costs account for over half of our cost of goods sold. Lithium, which is extracted from mined ore, is a key raw material used to produce our battery cells and, as a result, the cost of our battery cells is dependent on the price and availability of lithium, which may be volatile and unpredictable and beyond our control. Additionally, availability of the raw materials used to manufacture our products may be limited at times, resulting in higher prices and/or the need to find alternative suppliers. Our battery cell manufacturers have joint venture factories outside of Asia and have sourcing contracts from lithium suppliers in South America and Australia. In addition, we have a secondary source for lithium iron phosphate cells used in our batteries from a supplier in Europe, enabling us to source materials outside of Asia in the event it becomes necessary to do so.</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increased mining and reserves, there is an industry push to provide more efficient ways to extract lithium from mined ore. Another development of the past few years is lithium cell recycling. This process will recapture the raw lithium from the cell for reuse in future cells. However, notwithstanding any efforts to improve the sustainability and efficiency of lithium mining, the price of lithium is volatile. We continue to monitor developments that may adversely affect our supply chain.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expect that products from our Asian third-party manufacturers will be subject to additional tariffs in 2026, we believe that we can protect our margins through a combination of supplier concessions, customer price increases and operational efficiencies gained as sales continue to grow. U.S. trade policy has been subject to significant legislative, regulatory, and judicial developments in recent years. For example, in February 2026, the U.S. Supreme Court ruled that the International Emergency Economic Powers Act (“IEEPA”) does not authorize the President to impose tariffs. While that decision invalidated certain tariffs imposed under that authority, tariffs and other trade measures may continue to be imposed under other statutory authorities or through future legislation. However, there can be no assurance that such efforts will fully offset increased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have around 300 customers across the United States consisting of dealers, wholesalers, private-label customers and OEMs who then sell our products to end consumers. Our sales are completed on a purchase-order basis and most are without firm, long-term revenue commitments or sales arrangements. Expion360 has sales relationships with many major RV retailers, including Camping World, a leading national RV retailer, and Keystone Automotive, a leading national marketer and distributor of automotive and RV specialty products. In addition, we also sell products directly to end consumers. We intend to continue to focus on our sales and distribution channels to develop existing customer relationships and grow our customer base. We also offer a high level of technical support to our customers before and after product sales.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derive a significant portion of our revenue from a limited number of customers. During the year ended December 31, 2025, sales to four customers accounted for approximately 60% of our gross sales. These customers accounted for 69% of our outstanding accounts receivable as of December 31, 2025. Sales to each of our other customers did not exceed 10% during this period.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filed 11 patent applications in the United States to provide protection for our technology, including seven design patent applications and four utility patent applications. In addition, we rely upon a combination of trademark and trade secret laws in the United States, as well as license agreements and other contractual protections, to establish, maintain and enforce rights in our proprietary technologies. We also seek to protect our intellectual property rights through non-disclosure and invention assignment agreements with our employees and consultants and through non-disclosure agreements with business partners and other third parties.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in an effort to protect our brand, as of December 31, 2025, we have 18 trademarks registered or pending registration to cover our house marks in the United States and have nine trademarks registered or pending registration in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inspections by federal, state, and local regulators overseeing environmental health and safety, which could result in possible citations and/or fines. Lithium-ion battery shipments are categorized as “dangerous goods” and are subject to rules governing their transportation. We have implemented policies and procedures, trained our employees, and conducted internal audits to verify compliance with environmental health and safety regulations.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our currently commercialized lithium iron phosphate batter models have achieved UL 1973 certification. Certain next-generation models remain subject to final 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22 employees, all of whom worked for us full time. None of our employees are covered by collective bargaining agreements and we have never experienced an organized work stoppage, strike, or labor dispute. We believe working conditions and compensation packages are competitive with those offered by competitors and consider our relations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our third-party manufacturers and suppliers are, and could become, subject to a wide range of international, federal, state, provincial, and local governmental regulations directed at preventing or mitigating environmental harm, as well as to the storage, discharge, handling, generation, disposal and labeling of toxic or other hazardous substances. Although we outsource our manufacturing, the manufacturing of our products by our third-party manufacturers and suppliers require the use of hazardous materials that similarly subject these third parties, and therefore our business, to such environmental laws and regulations. Noncompliance by us or third-party manufacturers with applicable environmental or safety regulations could result in regulatory actions, penalties, or operational disruptions. Increased compliance costs by our third-party manufacturing partners may also result in increased costs to our business. Our business and operations are also subject to health and safety laws and regulations adopted by government agencies such as the Occupational Safety and Health Administration. Although we believe we are in material compliance with applicable laws concerning matters relating to health, safety, and the environment, the risk of liability relating to these matters cannot be eliminated completely. To date, we have not incurred significant expenditures relating to environmental compliance nor have we experienced any material issues relating to employee health and safety.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information.</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(“JOBS Act”). As an emerging growth company, we have elected to take advantage of specified reduced disclosure and other requirements that are otherwise applicable generally to public companies. These provisions include:</w:t>
      </w:r>
    </w:p>
    <w:p>
      <w:pPr>
        <w:spacing w:after="0" w:line="199" w:lineRule="exact"/>
        <w:rPr>
          <w:sz w:val="20"/>
          <w:szCs w:val="20"/>
          <w:color w:val="auto"/>
        </w:rPr>
      </w:pPr>
    </w:p>
    <w:p>
      <w:pPr>
        <w:ind w:left="660" w:hanging="328"/>
        <w:spacing w:after="0" w:line="184" w:lineRule="auto"/>
        <w:tabs>
          <w:tab w:leader="none" w:pos="660" w:val="left"/>
        </w:tabs>
        <w:numPr>
          <w:ilvl w:val="0"/>
          <w:numId w:val="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requirement that we provide only two years of audited financial statements in addition to any required unaudited interim financial statements with correspondingly reduced “Management’s Discussion and Analysis of Financial Condition and Results of Operations” disclosure;</w:t>
      </w:r>
    </w:p>
    <w:p>
      <w:pPr>
        <w:ind w:left="660" w:hanging="328"/>
        <w:spacing w:after="0" w:line="180" w:lineRule="auto"/>
        <w:tabs>
          <w:tab w:leader="none" w:pos="660" w:val="left"/>
        </w:tabs>
        <w:numPr>
          <w:ilvl w:val="0"/>
          <w:numId w:val="5"/>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reduced disclosure about our executive compensation arrangements;</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5"/>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an exemption from the requirement that we hold a non-binding advisory vote on executive compensation or golden parachute arrangements; and</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5"/>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an exemption from the auditor attestation in the assessment of our internal control over financial reporting.</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 of $1.235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SEC rules.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reduced reporting requirements available to smaller reporting companies and will be able to take advantage of these reduced reporting requirements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Expion360 Inc. was initially organized as a limited liability company under the name Yozamp Products Company, LLC in the State of Oregon in June 2016 and converted to a Nevada corporation in November 2021.</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Our website is found at </w:t>
      </w:r>
      <w:r>
        <w:rPr>
          <w:rFonts w:ascii="Times New Roman" w:cs="Times New Roman" w:eastAsia="Times New Roman" w:hAnsi="Times New Roman"/>
          <w:sz w:val="18"/>
          <w:szCs w:val="18"/>
          <w:i w:val="1"/>
          <w:iCs w:val="1"/>
          <w:color w:val="auto"/>
        </w:rPr>
        <w:t>expion360.com</w:t>
      </w:r>
      <w:r>
        <w:rPr>
          <w:rFonts w:ascii="Times New Roman" w:cs="Times New Roman" w:eastAsia="Times New Roman" w:hAnsi="Times New Roman"/>
          <w:sz w:val="18"/>
          <w:szCs w:val="18"/>
          <w:color w:val="auto"/>
        </w:rPr>
        <w:t xml:space="preserve"> and on the Investor Relations section of our website, we post the following filings as soon as reasonably practicable after they are electronically filed with or furnished to the SEC: our Annual Reports on Form 10-K, our Proxy Statement on Schedule 14A, our Quarterly Reports on Form 10-Q, our Current Reports on Form 8-K, and any amendments to those reports filed or furnished pursuant to Section 13(a) or 15(d) of the Exchange Act.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information on our Investor Relations web page is available to be viewed free of charge. Information contained on our website is not part of this Annual Report or our other filings with the SEC. We assume no obligation to update or revise any forward-looking statements in this Annual Report whether as a result of new information, future events or otherwise, unless we are required to do so by law.</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SEC also maintains a website found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Investing in our common stock involves significant risk and uncertainty. Before you make a decision to buy our common stock, in addition to the risks and uncertainties discussed below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you should carefully consider the specific risks set forth below, as well as the other information in this Annual Report, including our financial statements and the related notes and “Management’s Discussion and Analysis of Financial Condition and Results of Operations.” If any of these risks actually occur, it may materially and adversely affect our business, financial condition, liquidity, results of operations, and prospects. As a result, the market price of our common stock could decline, and you could lose all or part of your investment. Additionally, the risks and uncertainties described in this Annual Report are not the only risks and uncertainties that we face. Additional risks and uncertainties not presently known to us or that we currently believe to be immaterial may become material and adversely affect our business. If any of the following risks or other risks not specified below materialize, our business, financial condition and results of operations could be materially and adversely affected. In that case, the trading price of our shares of common stock could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most significant risks and uncertainties that we believe could adversely affect our business, financial condition and results of operations. The summary should be read in conjunction with the more detailed risk factors set forth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the other information contained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4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We operate in an extremely competitive industry and are subject to pricing pressures.</w:t>
      </w:r>
    </w:p>
    <w:p>
      <w:pPr>
        <w:spacing w:after="0" w:line="40" w:lineRule="exact"/>
        <w:rPr>
          <w:rFonts w:ascii="Times New Roman" w:cs="Times New Roman" w:eastAsia="Times New Roman" w:hAnsi="Times New Roman"/>
          <w:sz w:val="36"/>
          <w:szCs w:val="36"/>
          <w:color w:val="auto"/>
          <w:vertAlign w:val="subscript"/>
        </w:rPr>
      </w:pPr>
    </w:p>
    <w:p>
      <w:pPr>
        <w:ind w:left="660" w:hanging="652"/>
        <w:spacing w:after="0" w:line="180" w:lineRule="auto"/>
        <w:tabs>
          <w:tab w:leader="none" w:pos="660" w:val="left"/>
        </w:tabs>
        <w:numPr>
          <w:ilvl w:val="0"/>
          <w:numId w:val="6"/>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We have a history of losses. As our costs increase, we may not be able to generate sufficient revenue to achieve and sustain profitability.</w:t>
      </w:r>
    </w:p>
    <w:p>
      <w:pPr>
        <w:spacing w:after="0" w:line="40" w:lineRule="exact"/>
        <w:rPr>
          <w:rFonts w:ascii="Times New Roman" w:cs="Times New Roman" w:eastAsia="Times New Roman" w:hAnsi="Times New Roman"/>
          <w:sz w:val="25"/>
          <w:szCs w:val="25"/>
          <w:color w:val="auto"/>
          <w:vertAlign w:val="subscript"/>
        </w:rPr>
      </w:pPr>
    </w:p>
    <w:p>
      <w:pPr>
        <w:ind w:left="66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ind w:left="66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results of operations could be adversely affected by changes in the cost and availability of raw materials and our reliance on third-party manufacturers and suppliers.</w:t>
      </w:r>
    </w:p>
    <w:p>
      <w:pPr>
        <w:ind w:left="660" w:hanging="652"/>
        <w:spacing w:after="0"/>
        <w:tabs>
          <w:tab w:leader="none" w:pos="660" w:val="left"/>
        </w:tabs>
        <w:numPr>
          <w:ilvl w:val="0"/>
          <w:numId w:val="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Increases in costs, disruption of supply, or shortage of any of our battery components such as electronic and mechanical parts could harm our business.</w:t>
      </w:r>
    </w:p>
    <w:p>
      <w:pPr>
        <w:spacing w:after="0" w:line="41" w:lineRule="exact"/>
        <w:rPr>
          <w:rFonts w:ascii="Times New Roman" w:cs="Times New Roman" w:eastAsia="Times New Roman" w:hAnsi="Times New Roman"/>
          <w:sz w:val="34"/>
          <w:szCs w:val="34"/>
          <w:color w:val="auto"/>
          <w:vertAlign w:val="subscript"/>
        </w:rPr>
      </w:pPr>
    </w:p>
    <w:p>
      <w:pPr>
        <w:ind w:left="660" w:hanging="652"/>
        <w:spacing w:after="0" w:line="180" w:lineRule="auto"/>
        <w:tabs>
          <w:tab w:leader="none" w:pos="660" w:val="left"/>
        </w:tabs>
        <w:numPr>
          <w:ilvl w:val="0"/>
          <w:numId w:val="6"/>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Our business and future growth depends on the needs and success of our customers.</w:t>
      </w:r>
    </w:p>
    <w:p>
      <w:pPr>
        <w:spacing w:after="0" w:line="40" w:lineRule="exact"/>
        <w:rPr>
          <w:rFonts w:ascii="Times New Roman" w:cs="Times New Roman" w:eastAsia="Times New Roman" w:hAnsi="Times New Roman"/>
          <w:sz w:val="25"/>
          <w:szCs w:val="25"/>
          <w:color w:val="auto"/>
          <w:vertAlign w:val="subscript"/>
        </w:rPr>
      </w:pPr>
    </w:p>
    <w:p>
      <w:pPr>
        <w:ind w:left="660" w:hanging="652"/>
        <w:spacing w:after="0"/>
        <w:tabs>
          <w:tab w:leader="none" w:pos="660" w:val="left"/>
        </w:tabs>
        <w:numPr>
          <w:ilvl w:val="0"/>
          <w:numId w:val="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 have substantial customer concentration, with a limited number of customers accounting for a substantial portion of our sales in 2025 and 2024.</w:t>
      </w:r>
    </w:p>
    <w:p>
      <w:pPr>
        <w:spacing w:after="0" w:line="41" w:lineRule="exact"/>
        <w:rPr>
          <w:rFonts w:ascii="Times New Roman" w:cs="Times New Roman" w:eastAsia="Times New Roman" w:hAnsi="Times New Roman"/>
          <w:sz w:val="34"/>
          <w:szCs w:val="34"/>
          <w:color w:val="auto"/>
          <w:vertAlign w:val="subscript"/>
        </w:rPr>
      </w:pPr>
    </w:p>
    <w:p>
      <w:pPr>
        <w:ind w:left="660" w:hanging="652"/>
        <w:spacing w:after="0" w:line="180" w:lineRule="auto"/>
        <w:tabs>
          <w:tab w:leader="none" w:pos="660" w:val="left"/>
        </w:tabs>
        <w:numPr>
          <w:ilvl w:val="0"/>
          <w:numId w:val="6"/>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If we fail to expand our sales and distribution channels, our business could suffer.</w:t>
      </w:r>
    </w:p>
    <w:p>
      <w:pPr>
        <w:spacing w:after="0" w:line="40" w:lineRule="exact"/>
        <w:rPr>
          <w:rFonts w:ascii="Times New Roman" w:cs="Times New Roman" w:eastAsia="Times New Roman" w:hAnsi="Times New Roman"/>
          <w:sz w:val="25"/>
          <w:szCs w:val="25"/>
          <w:color w:val="auto"/>
          <w:vertAlign w:val="subscript"/>
        </w:rPr>
      </w:pPr>
    </w:p>
    <w:p>
      <w:pPr>
        <w:ind w:left="660" w:hanging="652"/>
        <w:spacing w:after="0" w:line="180" w:lineRule="auto"/>
        <w:tabs>
          <w:tab w:leader="none" w:pos="660" w:val="left"/>
        </w:tabs>
        <w:numPr>
          <w:ilvl w:val="0"/>
          <w:numId w:val="6"/>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The uncertainty in global economic conditions could negatively affect our results of operations.</w:t>
      </w:r>
    </w:p>
    <w:p>
      <w:pPr>
        <w:spacing w:after="0" w:line="40" w:lineRule="exact"/>
        <w:rPr>
          <w:rFonts w:ascii="Times New Roman" w:cs="Times New Roman" w:eastAsia="Times New Roman" w:hAnsi="Times New Roman"/>
          <w:sz w:val="25"/>
          <w:szCs w:val="25"/>
          <w:color w:val="auto"/>
          <w:vertAlign w:val="subscript"/>
        </w:rPr>
      </w:pPr>
    </w:p>
    <w:p>
      <w:pPr>
        <w:ind w:left="660" w:right="2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are currently, and will likely continue to be, dependent on a limited number of warehouse facilities. If our facilities become inoperable for any reason, our ability to produce our products could be negatively impacted.</w:t>
      </w:r>
    </w:p>
    <w:p>
      <w:pPr>
        <w:ind w:left="66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could face potential product liability or warranty claims relating to our products, including the components thereof, which could reduce market adoption, result in reputation damage, and result in significant costs and liabilities, which would reduce our profitability.</w:t>
      </w:r>
    </w:p>
    <w:p>
      <w:pPr>
        <w:ind w:left="660" w:hanging="652"/>
        <w:spacing w:after="0" w:line="180" w:lineRule="auto"/>
        <w:tabs>
          <w:tab w:leader="none" w:pos="660" w:val="left"/>
        </w:tabs>
        <w:numPr>
          <w:ilvl w:val="0"/>
          <w:numId w:val="6"/>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Our operations expose us to litigation, tax, environmental, and other legal compliance risks.</w:t>
      </w:r>
    </w:p>
    <w:p>
      <w:pPr>
        <w:spacing w:after="0" w:line="40" w:lineRule="exact"/>
        <w:rPr>
          <w:rFonts w:ascii="Times New Roman" w:cs="Times New Roman" w:eastAsia="Times New Roman" w:hAnsi="Times New Roman"/>
          <w:sz w:val="25"/>
          <w:szCs w:val="25"/>
          <w:color w:val="auto"/>
          <w:vertAlign w:val="subscript"/>
        </w:rPr>
      </w:pPr>
    </w:p>
    <w:p>
      <w:pPr>
        <w:ind w:left="66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failure to introduce new products and product enhancements that respond to customer and end consumer demand, and any broad market acceptance of new technologies introduced by our competitors, could adversely affect our business.</w:t>
      </w:r>
    </w:p>
    <w:p>
      <w:pPr>
        <w:ind w:left="66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may not be able to adequately protect our proprietary intellectual property and technology and we may need to defend ourselves against intellectual property infringement claims.</w:t>
      </w:r>
    </w:p>
    <w:p>
      <w:pPr>
        <w:ind w:left="66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Any acquisitions that we complete may dilute stockholder ownership interests in the Company, may have adverse effects on our financial condition and results of operations and may cause unanticipated liabilities.</w:t>
      </w:r>
    </w:p>
    <w:p>
      <w:pPr>
        <w:ind w:left="66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If our electronic data is compromised, or we experience a failure in our information technology or storage systems, our business could be significantly harmed.</w:t>
      </w:r>
    </w:p>
    <w:p>
      <w:pPr>
        <w:ind w:left="660" w:right="2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ability to raise capital in the future may be limited, which could make us unable to fund our capital requirements and our stockholders may be diluted by future securities offerings.</w:t>
      </w:r>
    </w:p>
    <w:p>
      <w:pPr>
        <w:ind w:left="660" w:hanging="652"/>
        <w:spacing w:after="0" w:line="180" w:lineRule="auto"/>
        <w:tabs>
          <w:tab w:leader="none" w:pos="66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depend on our senior management team and other key employees, and significant attrition within our management team or unsuccessful succession planning could adversely affect our business.</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4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Our stock price may fluctuate significantly, and you may lose all or a part of your investment.</w:t>
      </w:r>
    </w:p>
    <w:p>
      <w:pPr>
        <w:spacing w:after="0" w:line="40" w:lineRule="exact"/>
        <w:rPr>
          <w:rFonts w:ascii="Times New Roman" w:cs="Times New Roman" w:eastAsia="Times New Roman" w:hAnsi="Times New Roman"/>
          <w:sz w:val="36"/>
          <w:szCs w:val="36"/>
          <w:color w:val="auto"/>
          <w:vertAlign w:val="subscript"/>
        </w:rPr>
      </w:pPr>
    </w:p>
    <w:p>
      <w:pPr>
        <w:ind w:left="660" w:hanging="652"/>
        <w:spacing w:after="0" w:line="180" w:lineRule="auto"/>
        <w:tabs>
          <w:tab w:leader="none" w:pos="660" w:val="left"/>
        </w:tabs>
        <w:numPr>
          <w:ilvl w:val="0"/>
          <w:numId w:val="7"/>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Sales of substantial amounts of our securities in the public markets, or the perception that such sales might occur, could reduce the price of our securities and may dilute your voting power and your ownership interest in us.</w:t>
      </w:r>
    </w:p>
    <w:p>
      <w:pPr>
        <w:ind w:left="660" w:hanging="652"/>
        <w:spacing w:after="0" w:line="180" w:lineRule="auto"/>
        <w:tabs>
          <w:tab w:leader="none" w:pos="660" w:val="left"/>
        </w:tabs>
        <w:numPr>
          <w:ilvl w:val="0"/>
          <w:numId w:val="7"/>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The exercise of outstanding warrants may result in a substantial increase in the number of shares of our common stock that are outstanding.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Our Capital Structure</w:t>
      </w:r>
    </w:p>
    <w:p>
      <w:pPr>
        <w:spacing w:after="0" w:line="229" w:lineRule="exact"/>
        <w:rPr>
          <w:sz w:val="20"/>
          <w:szCs w:val="20"/>
          <w:color w:val="auto"/>
        </w:rPr>
      </w:pPr>
    </w:p>
    <w:p>
      <w:pPr>
        <w:ind w:left="660" w:hanging="652"/>
        <w:spacing w:after="0" w:line="184" w:lineRule="auto"/>
        <w:tabs>
          <w:tab w:leader="none" w:pos="660" w:val="left"/>
        </w:tabs>
        <w:numPr>
          <w:ilvl w:val="0"/>
          <w:numId w:val="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Our long-term lease and debt obligations could adversely affect our ability to raise additional capital to fund operations and limit our ability to enter into certain transactions.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 extremely competitive industry and are subject to pricing pressures.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compete with a number of major international and domestic manufacturers, assemblers and distributors, as well as a large number of smaller, regional competitors. In addition, our customers have many choices for energy storage solutions in the markets that we serve, including both traditional lead-acid products as well as lithium-ion products. We believe our main competitive advantage in displacing incumbent lead-acid batteries is that we produce a lighter, safer, higher performing, cost-effective battery with a longer lifespan. We believe our product offerings, proven reliability, and relationships with dealers, private label direct to consumer and OEMs enable us to compete effectively against other battery manufacturers and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our competitive advantage.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For example, foreign producers may be able to employ labor at significantly lower costs than producers in the U.S., expand their export capacity and increase their marketing presence in major America markets. In addition, several of our competitors may be able to devote greater resources to technical, marketing, sales, manufacturing, distribution and other resources, as well as significant name recognition, established positions in the market and long-standing relationships with OEMs and other customers. These advantages may afford them greater access to customers, and may be able to establish cooperative or strategic relationships amongst themselves or with third parties that may further enhance their competitive positioning. Our failure to adapt to or address these factors could have a material adverse effect on our business, financial condition, and 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ability to maintain and improve our operating margins has depended, and continues to depend, on our ability to control and reduce our costs. We cannot assure you that we will be able to continue to control our operating, assembly and manufacturing expenses, to raise or maintain our prices or increase our unit volume or unit mix, in order to maintain or improve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As our costs increase, we may not be able to generate sufficient revenue to achieve and sustain profitability.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net losses in each period since inception. We generated net losses of $6.2 million and $13.5 million for the years ended December 31, 2025 and 2024, respectively.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Part of our business strategy is to focus on our long-term growth. As a result, our profitability may be lower in the near-term than it would be if our strategy were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cause long-term profitability. If we are ultimately unable to achieve profitability at the level anticipated by industry or financial analysts and our stockholders, our stock price may decline.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common stock may significantly decrease, which may in turn have a material adverse effect on our ability to raise capital to grow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audited financial statements as of and for the years ended December 31, 2025 and 2024 were prepared on the assumption that we would continue as a going concern. For the years ended December 31, 2025 and 2024, we sustained recurring losses and negative cash flows from operations. These factors raise substantial doubt about our ability to continue as a going concern over the next 12 months and our independent auditors have included a “going concern” explanatory paragraph in their report on our financial statements as of and for the years ended December 31, 2025 and 2024. We expect to continue to incur operating losses for the foreseeable future, and may need to raise additional debt or equity financing to fund working capital, expand our presence in the marketplace, develop new products, achieve operating efficiencies, and accomplish our long-term business plan. There can be no assurance that additional financing will be available on acceptable terms or at all. If we are unable to secure additional funding before we achieve profitability or positive cash flow from operations, then our financial condition could render us unable to continue as a going concern.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changes in the cost and availability of raw materials and our reliance on third-party manufacturers and suppliers.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rely on multiple third-party manufacturers located in Asia to manufacture our batteries and battery cells, and we intend to continue to rely on these suppliers going forward. Lithium-ion batteries are our most significant raw material and are used along with significant amounts of plastics, steel, copper and other materials in our assembly and manufacturing processes. Our third-party manufacturers source the raw materials and battery components required for the production of our batteries directly from third-party suppliers and thus we may have limited control over the agreed pricing for these raw materials and battery components. We estimate that raw material costs account for over half of our cost of goods sold. The costs of these raw materials, particularly lithium-ion batteries, are volatile and beyond our control. Additionally, availability of the raw materials used to manufacture our products may be limited at times resulting in higher prices and/or the need to find alternative suppliers. Furthermore, the cost of raw materials may also be influenced by transportation and freight costs. Volatile raw material costs can significantly affect our results of operations and make period-to-period comparisons extremely difficult. We cannot assure you that we will be able to either hedge the costs or that we or our third-party manufacturers will be able to secure the availability of our raw material requirements at a reasonable level or that we will be able to pass on to our customers the increased costs of our raw materials without affecting demand, or that limited availability of materials will not impact our production capabilities. Our inability to raise the price of our products in response to increases in prices of raw materials or to maintain a proper supply of raw materials could have an adverse effect on our revenue, operating profit, and net income.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during the years ended December 31, 2025 and 2024, approximately 55% and 82%, respectively, of inventory purchases were made from foreign suppliers in Asia. Our dependence on a limited number of key third-party manufacturers and suppliers exposes us to challenges and risks in ensuring that we maintain adequate supplies required to produce our batteries. We do not have long-term purchase arrangements with our third-party manufacturers and generally transact on a purchase order basis. Thus, although we carefully manage our inventory and lead times, we may face challenges obtaining favorable pricing, consistent quality specifications, and sufficient quantities of lithium-ion batteries and other materials from these suppliers. Our close working relationships with our foreign suppliers to date, reflected in our ability to increase our purchase order volumes (qualifying us for related volume-based discounts) and to order and receive delivery of components in advance of required demand, has helped us moderate or offset increased supply-related costs associated with inflation, currency fluctuations, and tariffs imposed on our battery imports by the U.S. government. However, if we are unable to enter into or maintain commercial arrangements with these suppliers on favorable terms, our assembly operations and customer deliveries would be seriously impacted, potentially resulting in contractual penalties or other liabilities and harm to our customer relationships. Although we believe we could locate alternative suppliers to fulfill our needs, we may be unable to find a sufficient alternative supply in a reasonable time or on commercially reasonable terms.</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4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40" w:lineRule="exact"/>
        <w:rPr>
          <w:rFonts w:ascii="Times New Roman" w:cs="Times New Roman" w:eastAsia="Times New Roman" w:hAnsi="Times New Roman"/>
          <w:sz w:val="36"/>
          <w:szCs w:val="36"/>
          <w:color w:val="auto"/>
          <w:vertAlign w:val="subscript"/>
        </w:rPr>
      </w:pPr>
    </w:p>
    <w:p>
      <w:pPr>
        <w:ind w:left="660" w:hanging="328"/>
        <w:spacing w:after="0" w:line="180" w:lineRule="auto"/>
        <w:tabs>
          <w:tab w:leader="none" w:pos="660" w:val="left"/>
        </w:tabs>
        <w:numPr>
          <w:ilvl w:val="0"/>
          <w:numId w:val="9"/>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breach of supply agreements by the third-party supplies;</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9"/>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misappropriation or disclosure of our proprietary information, including our trade secrets and know-how;</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ind w:left="660" w:hanging="328"/>
        <w:spacing w:after="0" w:line="180" w:lineRule="auto"/>
        <w:tabs>
          <w:tab w:leader="none" w:pos="660" w:val="left"/>
        </w:tabs>
        <w:numPr>
          <w:ilvl w:val="0"/>
          <w:numId w:val="9"/>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termination or non-renewal of agreements by third-party suppliers at times that are costly or inconvenient for us.</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Several of our key manufacturers and suppliers are located in China, and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Notably, the lithium-ion battery industry has been subjected to tariffs implemented by the United States government on goods imported from China. There is an ongoing risk of new or additional tariffs being imposed on lithium-ion batteries or related parts which would significantly increase our cost of goods sold, which could require us to increase prices to our customers or, if we are unable to do so, result in lower gross margins on the products sold by us. In addition, these tariffs could make our products less competitive than those of our competitors whose inputs are not subject to these tariffs. These U.S. tariff impositions against Chinese exports have been followed by a round of retaliatory Chinese tariffs on U.S. exports to China. Any resulting escalation of trade tensions, including a “trade war,” could have a significant adverse effect on world trade and the world economy, as well as on our results of operations. At this time, we cannot predict whether additional tariffs or trade restrictions will be imposed or the extent to which they may impact our business.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U.S. trade policy has been subject to significant volatility in recent years. For example, in February 2026, the U.S. Supreme Court ruled that the IEEPA does not authorize the President to impose tariffs, invalidating certain tariffs imposed under that authority. However, tariffs and other trade restrictions may continue to be imposed under other statutory authorities or through future legislation. Any new tariffs or increases in existing tariffs on battery components or raw materials could increase our cost of goods sold and adversely affect our business and results of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may be unable to control price fluctuations for these components or negotiate supply arrangements on favorable terms to us. We may also be exposed to fluctuations in the value of the U.S. dollar relative to the Renminbi with any appreciation in the value of the Renminbi increasing our costs for lithium-ion batteries and other raw materials sourced from China. Substantial increases in the prices for our lithium-ion batteries and other raw materials would increase our operating costs and negatively impact our results of operations. In addition, foreign currency fluctuations relative to the value of the U.S. dollar could affect the price of components and materials used in our batteries and sourced from countries other than the United States. Demand for lithium-ion batteries and other raw materials used in our products may also increase as a result of growing global demand from EV and energy storage industries, which could further increase the cost or reduce the availability of these materials.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any of our battery components such as electronic and mechanical parts could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experience increases in the cost or a sustained interruption in the supply or shortage of battery components. Supply chain disruptions and component shortages have occurred in the past and may occur in the future due to a variety of factors, including geopolitical events, trade policies and tariffs, manufacturing concentration, transportation disruptions, labor shortages, public health events, and demand-supply imbalances in specific component categories. The timing, duration and magnitude of any such disruptions are uncertain and may vary by component type. For example, shortages could affect the supply of electronic components used in the manufacture of our battery components. Any such cost increase or supply interruption could materially and negatively impact our business, prospects, financial condition and results of operations. In addition, although we carefully manage our inventory and supplier lead times, our suppliers may not continue to provide us with battery components in the quantities we require, to our required specifications and quality standards, or at commercially reasonable prices.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include dealers, wholesalers, private-label customers and OEMs. The demand for our products ultimately depends on consumers in our current end markets (primarily owners of RVs and marine vessels). These markets can be impacted by numerous factors, including, consumer spending, travel restrictions, fuel costs and energy demands (including an increasing trend towards the use of green energy) and overall economic conditions.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customer concentration, with a limited number of customers accounting for a substantial portion of our sales in 2025 and 2024.</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derive a significant portion of our revenue from a limited number of customers. Sales to four customers totaled approximately 60% of our gross sales during the year ended December 31, 2025, and these customers had accounts receivable balances representing 69% of our total accounts receivable as of December 31, 2025. During the year ended December 31, 2024, sales to one customer represented approximately 14% of our gross sales, and four other customers had accounts receivable balances representing 60% of total accounts receivable as of December 31, 2024. There are inherent risks whenever a large percentage of gross sales are concentrated with a limited number of customers. In addition, most of our sales are completed on a purchase order basis and most are without firm, long-term revenue commitments or sales arrangements. It is not possible for us to predict the future level of demand for our products and services that will be generated by our customers or the future demand for the products and services of our other customers. If any of our customers experience declining or delayed sales due to market, economic or competitive conditions, we could be pressured to reduce the prices we charge for our products which could have an adverse effect on our margins and financial position and could negatively affect our revenue and results of operations and/or trading price of our common stock. Furthermore, there is inherent risk associated with accounts receivable concentration as a deterioration in the financial condition of a limited number of account debtors, or any other factor which affects their ability or willingness to pay could in turn have a material adverse effect on our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continuously expanding our operations since our founding in 2016. As we continue to grow, we must continue to improve our managerial, technical and operational knowledge and allocation of resources, and to implement an effective management information system. To effectively manage our expanded operations, we need to continue to recruit and train managerial, accounting, internal audit, engineering, assembly and manufacturing, technical, sales, and other staff to satisfy our development requirements and there are currently significant labor shortages in the market. In order to fund our ongoing operations and our future growth, we need to have sufficient internal sources of liquidity or access to additional financing from external sources. Furthermore, we will be required to manage relationships with a greater number of customers, suppliers, contractors, service providers, lenders and other third parties. We will need to further strengthen our internal control and compliance functions to ensure that we are able to comply with our legal and contractual obligations and to reduce our operational and compliance risks. We cannot assure you that we will not experience issues such as capital constraints, construction delays, operational difficulties at new locations, or difficulties in expanding our existing business and operations and in recruiting and training an increasing number of personnel to manage and operate the expanded business. Our expansion plans may also adversely affect our existing operations and thereby have a material adverse effect on our business, prospects, financial condition and results of operations.</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negatively impacted by public health epidemics or outbreaks.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risks associated with public health crises, epidemics or pandemics, and other widespread disruptions that could adversely affect the global economy, supply chain, and demand for our products. For example, the COVID-19 global pandemic adversely impacted our operations, supply chains, and distribution systems as well as those of our third-party suppliers and manufacturers, and similar disruptions could occur in the future due to other public health events or comparable global disruptions. A future public health epidemic or outbreak may make it more difficult for us and our third-party manufacturers to find sufficient components or raw materials and component parts on a timely basis or at a cost-effective price. Any performance failure on the part of any of our significant suppliers or third-party manufacturers could interrupt production of our products, which would have a material adverse effect on our business, financial condition and results of operations. In addition, during the pandemic we experienced shortages and workforce slowdowns due to stay-at-home mandates, illness among our workforce, delays in shipping finished products to customers, and delays in our receiving batteries and certain components. The highly competitive labor market made it difficult to recruit and maintain a workforce properly sized and suited for our operational and strategic needs, which further adversely impacted our business, and any future incidence of disease could similarly impact our business. In addition, while the pandemic positively impacted our battery sales due to more consumers adopting the RV lifestyle, there is no guarantee that any such increase would be sustained, which could cause our results of operations to fluctuate.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our sales and distribution channels, our business could suffer.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If we are unable to expand our sales and distribution channels, we may not be able to increase revenue or achieve market acceptance of our products. The company may expand its direct sales force by recruiting additional sales personnel. Newly-hired sales personnel will require training and may take time to achieve full productivity. The Company operates in a competitive market for experienced sales professionals, which may impact recruiting efforts. In addition, we believe our future success is dependent upon establishing successful relationships with a variety of distribution partners. To date, we have entered into agreements with only a small number of these distribution partners. We cannot be certain that we will be able to reach agreement with additional distribution partners on a timely basis or at all, or that these distribution partners will devote adequate resources to selling our products. Furthermore, if our distribution partners fail to adequately market or support our products, the reputation of our products in the market may suffer. In addition, we will need to manage potential conflicts between our direct sales force and any third-party reselling efforts. There can be no assurances that any of our efforts to expand our sales and distribution channels will be successful.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into international markets is uncertain.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is to expand our operations into international markets. In addition to general risks associated with international expansion, such as foreign currency fluctuations and political and economic instability, we face the following risks and uncertainties any of which could prevent us from selling our products in a particular country or harm our business operations once we have established operations in that country:</w:t>
      </w: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difficulties and costs of localizing products for foreign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need to modify our products to comply with local requirements in each country;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line="313" w:lineRule="auto"/>
        <w:rPr>
          <w:sz w:val="20"/>
          <w:szCs w:val="20"/>
          <w:color w:val="auto"/>
        </w:rPr>
      </w:pPr>
      <w:r>
        <w:rPr>
          <w:rFonts w:ascii="Times New Roman" w:cs="Times New Roman" w:eastAsia="Times New Roman" w:hAnsi="Times New Roman"/>
          <w:sz w:val="18"/>
          <w:szCs w:val="18"/>
          <w:color w:val="auto"/>
        </w:rPr>
        <w:t>our lack of a direct sales presence in other countries, our need to establish relationships with distribution partners to sell our products in these markets and our reliance on the capabilities and performance of these distribution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-300355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expand into international markets in the manner expected, our business, financial condition, results of operations and prospects may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Nearly all of our raw materials enter the United States through a limited number of ports and we rely on third parties to store and ship some of our inventory; labor unrest at these ports or other product deliver difficulties could interfere with our distribution plans and reduce our revenue.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rely exclusively on foreign manufacturers to manufacture the lithium-ion batteries used as raw materials in our products, as well as certain other of our raw materials. We may suffer delays in receiving raw materials due to work stoppages, strikes or lockouts or other bottlenecks at the ports through which our raw materials are shipped. Likewise, we rely on trucking carriers to deliver products from the port of arrival to our distribution facilities and from our distribution facilities to our customers. Additionally, in some cases, third parties sort, store, and direct-ship products to our customers. Labor unrest or other disruptions could result in product shortages and delays in distributing our products to retailers, which could materially and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could negatively affect our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of the industries in which our major customer groups operate. Our business is also highly dependent on the economic and market conditions in each of the geographic areas in which we operate. Our products are heavily dependent on the end markets that we serve and our results of operations will vary by location, depending on the economic environment in these markets. Sales of our RV and marine power products, for example, depend significantly on demand for new electric products for RVs and marine applications, which, in turn, depends on end-user demand for RVs and boats. We are actively expanding our product offerings and customer base into industrial, commercial, construction, surveillance, remote monitoring, and other adjacent markets in an effort to diversify revenue sources and reduce reliance on the RV and marine end markets; however, these efforts may not offset fluctuations in our core markets. The uncertainty in global economic conditions varies by geographic location and can result in substantial volatility in global credit markets, particularly in the United States. These conditions, including levels of consumer spending, economic recessions, slow economic growth, economic and pricing instability, inflation levels, increase of interest rates, credit market volatility and adverse developments affecting financial institutions, could affect our business by reducing prices that our customers may be able or willing to pay for our products or by reducing the demand for our products. In addition, the Russia-Ukraine war and the Israel-Palestine conflict has and may continue to further exacerbate disruptions in the global supply chain. As a result of sanctions imposed in relation to the Russia-Ukraine conflict, gas prices in the United States have risen to historic levels, and geopolitical tensions in the Middle East have impacted global shipping routes. Any rise in the cost of fuel may cause a decrease in RV travel, which could ultimately negatively impact sales of our batteries for RVs. We have also historically experienced increased shipping costs as a result of increased fuel costs and shutdowns at the ports through which our lithium-ion batteries and other raw materials are shipped, and such costs could adversely impact our results of operations in future periods. Any of the above factors could, in turn, negatively impact our sales and earnings generation and result in a material adverse effect on our business, cash flows, results of operations, and financial position.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reviews, inquiries, investigations, and actions could harm our business or reputation.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operate in various locations around the world, our operations in certain countries are subject to significant governmental scrutiny and may be adversely impacted by the results of such scrutiny, including regulations relating to environmental compliance, hazardous materials, product safety, and international trade. The regulatory environment with regard to our business is evolving, and officials often exercise broad discretion in deciding how to interpret and apply applicable regulations. From time to time, we receive formal and informal inquiries from various government regulatory authorities, as well as self-regulatory organizations, about our business and compliance with local laws, regulations or standards. Any determination that our operations or activities, or the activities of our employees, are not in compliance with existing laws, regulations or standards could result in the imposition of substantial fines, interruptions of business, loss of supplier, vendor, customer or other third-party relationships, termination of necessary licenses and permits, or similar results, all of which could potentially harm our business and/or reputation. Even if an inquiry does not result in these types of determinations, regulatory authorities could cause us to incur substantial costs or require us to change our business practices in a manner materially adverse to our business, and it potentially could create negative publicity which could harm our business and/or reputation.</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a limited number of warehouse facilities. If our facilities become inoperable for any reason, our ability to produce our products could be negatively impacted.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two adjacent warehouse facilities in Redmond, Oregon and a third warehouse facility in Elkhart, Indiana, which support the storage, assembly, and distribution of our products.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assemble our products for an extended period of time. The inability to produce our products or the backlog that could develop if any of our facilities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target is to onshore the manufacturing of most of our components and assemblies, including cell manufacturing, to the United States. Our plans for expansion may experience delays, incur additional costs, or cause disruption to our existing production lines. The costs to successfully achieve our expansion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lithium-ion batteries use LiFePO4 as the cathode material for lithium-ion cells. On rare occasions, lithium-ion cells can rapidly release the energy they contain by releasing smoke and flames in a manner that can ignite nearby materials and other lithium-ion cells. This could subject us to lawsuits, product recalls, or redesign efforts, all of which would be time-consuming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an uninterrupted supply of lithium-ion batteries, we store a significant number of lithium-ion batteries at our facilities. Any mishandling, other safety issue, or fire related to the cells or batteries could disrupt our operations. In addition, any accident, whether occurring at our facilities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face product liability or warranty claims relating to our products, including the components thereof, which could reduce market adoption, result in reputation damage, and result in significant costs and liabilities, which would reduce our profitability.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 offerings and energy storage solutions, which are complex, could contain design- or manufacturing-related defects, or may not operate at expected performance levels. We face an inherent business risk of exposure to product liability claims in the event that the use of any of our products results in personal injury or property damage. In the event that any of our products prove to be defective, we may be required to recall or redesign such products, which would result in significant unexpected costs. Any insurance we maintain may not be available on terms acceptable to us or such coverage may not be adequate for liabilities actually incurred. Further, any claim or product recall could result in adverse publicity against us, which could adversely affect our sales or increase our costs.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exposed to potential liability and product performance warranty risks that are inherent in the design, assembly, manufacture, and sale of our products. We sell the majority of our products to customers with conditional repair or replacement warranties. Expion360-branded products are warrantied for up to twelve years from the date of sale. As a result, we bear the risk of warranty claims long after we have sold the product and recognized revenue. In addition, under real-world operating conditions, which may vary by location and design, as well as environmental conditions, our products may perform in a different way than under standard test conditions or other failure data sets. We depend significantly on our reputation for safety and reliability and high-quality products and services, exceptional customer service, and our brand name to attract new customers and maintain our current customers, and grow our business. If our products do not perform as anticipated or we experience unexpected reliability problems or widespread product failures, our brand and market reputation could be significantly impaired and we may lose, or be unable to gain or retain, customers which could impact our business and results of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required to make assumptions and apply judgments, including the durability and reliability of our products, regarding their performance over the estimated warranty period and the anticipated number and value of warranty claims. We have a relatively limited operating history and must project how our offerings will perform over the estimated warranty period and the estimated reserve may have material changes. Historically, there have been very few claims and the costs associated with repairs or replacement parts associated with those claims have been nominal so we expense warranty claims as occurred and do not accrue an allowance. Our assumptions could prove to be materially different from the actual performance of our products, causing us to incur substantial expense to repair or replace defective products in the future. An increase in our estimates of future warranty obligations could cause us to increase the amount of warranty obligations. If our warranty reserves are inadequate to cover future warranty claims on our energy storage products, our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expose us to litigation, tax, environmental and other legal compliance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a variety of litigation, tax, environmental, health and safety and other legal compliance risks. These risks include, among other things, possible liability relating to product liability matters, personal injuries, intellectual property rights, contract-related claims, government contracts, taxes, health and safety liabilities, environmental matters, and compliance with competition laws and laws governing improper business practices. We could be charged with wrongdoing as a result of such matters. If convicted or found liable, we could be subject to significant fines, penalties, repayments, or other damages (in certain cases, treble damages). In the area of taxes, changes in tax laws and regulations, as well as changes in related interpretations and other tax guidance could materially impact our tax liabilities and our deferred tax assets and tax liabilities.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manufacture lithium-ion batteries in the future which involves processing, storing, disposing of, and otherwise moving large amounts of hazardous materials, and federal, state, and local regulations impose significant environmental requirements on the manufacturing, storage, transportation, and disposal of various components of advanced energy storage systems. As a result, we will be subject to extensive and changing environmental, health and safety laws, and regulations governing, among other things, the generation, handling, storage, use, transportation and disposal of hazardous materials; remediation of polluted ground or water; emissions or discharges of hazardous materials into the ground, air or water; and the health and safety of our employees. Although we believe our operations are in material compliance with applicable environmental regulations, there can be no assurance that changes in such laws and regulations will not impose costly compliance requirements on us or otherwise subject us to future liabilities. Our ongoing compliance with environmental, health and safety laws, regulations, and permits could require us to incur significant expenses, limit our ability to modify or expand our facilities or continue production, and require us to install additional pollution control equipment and make other capital improvements. In addition, private parties, including employees, could bring personal injury or other claims against us due to the presence of, or exposure to, hazardous substances used, stored or disposed of by us or contained in our products.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environmental laws assess liability on owners or operators of real property for the cost of investigation, removal, or remediation of hazardous substances at their current or former properties or at properties at which they have disposed of hazardous substances. These laws may also assess costs to repair damage to natural resources. We may be responsible for remediating damage to our properties caused by former owners by our existing operations or by our future operations.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Changes in environmental and climate laws or regulations could lead to new or additional investment in production designs and could increase environmental compliance expenditures. For example, federal and state regulators, including the United States Environmental Protection Agency, have promulgated and may continue to promulgate regulations relating to greenhouse gas emissions, hazardous air pollutants, energy use, and climate-related reporting and compliance obligations. In addition, the United States and certain states have enacted, or are considering, limitations on greenhouse gas emissions, carbon pricing mechanisms, and other climate-related regulatory measures that could affect manufacturing, supply chains, energy costs, or capital expenditures.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climate change concerns, or in the regulation of such concerns, including greenhouse gas emissions, could subject us to additional costs and restrictions, including increased energy and raw materials costs. Additionally, we cannot assure you that we have been or at all times will be in compliance with environmental laws and regulations or that we will not be required to expend significant funds to comply with, or discharge liabilities arising under, environmental laws, regulations and permits, or that we will not be exposed to material environmental, health or safety litigation.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the jurisdictions in which we conduct or in the future may conduct activities, including, the U.S. Foreign Corrupt Practices Act (the “FCPA”). The FCPA generally prohibits companies and their intermediaries from making improper payments to non-U.S. officials for the purpose of obtaining or retaining business. The FCPA applies to companies, individual directors, officers, employees, and agents. Under the FCPA, U.S. companies may be held liable for actions taken by strategic or local partners or representatives. The FCPA also imposes accounting standards and requirements on publicly traded U.S. corporations and their foreign affiliates, which are intended to prevent the diversion of corporate funds to the payment of bribes and other improper payments. Our policies mandate compliance with these antibribery laws. Despite meaningful measures that we undertake to facilitate lawful conduct, which include training and internal control policies, these measures may not always prevent reckless or criminal acts by our employees or agents as we expand our operations from the United States domestically to abroad. As a result, we could be subject to criminal and civil penalties, disgorgement, further changes or enhancements to our procedures, policies and controls, personnel changes or other remedial actions. Violations of these laws, or allegations of such violations, could disrupt our operations, involve significant management distraction and result in a material adverse effect on our competitive position, results of operations, cash flows or financial condition.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introduce new products and product enhancements that respond to customer and end consumer demand, and any broad market acceptance of new technologies introduced by our competitors, could adversely affect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will depend on our ability to develop new products and capabilities that respond to consumer demand, industry trends, or developments by our competitors. There is no assurance that we will be able to successfully develop new products and capabilities that adequately respond to these forces. In addition, many new energy storage technologies have been introduced over the past several years. For certain important and growing markets, such as aerospace and defense, lithium-based battery technologies have a large and growing market share. Our ability to achieve significant and sustained penetration of key developing markets, including the RV, marine, and industrial markets, will depend upon our success in developing or acquiring these and other technologies, either independently, through joint ventures, or through acquisitions, which in each case may require significant capital. In addition, new product introductions and technologies are risky, and may suffer from a lack of market acceptance, delays in related product development and failure of new products to operate properly. Any failure by us to successfully launch new products, or a failure by us to meet our customers’ criteria in order to accept such products, could adversely affect our results. If we fail to develop or acquire, assemble and manufacture and sell, products that satisfy our customers’ demands, or we fail to respond effectively to new product announcements by our competitors by quickly introducing competitive products, then we may fail to maintain our competitive position in our markets, and our business and financial condition could be adversely affected. We cannot assure you that our portfolio of primarily lithium-ion products will remain competitive with products based on new technologies.</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proprietary intellectual property and technology and we may need to defend ourselves against intellectual property infringement claims.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copyright, trademark, patent and trade secret laws, non-disclosure agreements, and other confidentiality procedures and contractual provisions to establish, protect, and maintain our proprietary intellectual property and technology and other confidential information. Certain of these technologies, especially battery case construction, are important to our business and are not protected by patents, and certain assets of our technology may not be protected by issued patents and instead rely on trade secret protection and other contractual safeguards. Despite our efforts to protect our proprietary intellectual property and technology and other confidential information, unauthorized parties may attempt to copy or otherwise obtain and use our intellectual property and proprietary technologies. If we are unable to protect our intellectual property and technology, we may lose our competitive position or any technological advantage we may have developed, and our results of operations and net income may be adversely affected. In addition, entities holding intellectual property rights relating to our technology may bring suits alleging infringement of such rights or otherwise asserting their rights and seeking licenses. Any such litigation or claims, whether or not valid or successful, could result in substantial costs and diversion of resources and our management’s attention. If we are determined to have infringed upon a third-party’s intellectual property rights, we may have to pay substantial damages, obtain a license, or cease making certain products, which in turn could have a material adverse effect on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problems with our products could harm our reputation and erode our competitive 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business will depend upon the quality of our products and our relationships with customers. In the event that our products fail to meet our customers’ standards, our reputation could be harmed, which would adversely affect our marketing and sales efforts. We cannot assure you that our customers will not experience quality problems with our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that we complete may dilute stockholder ownership interests in the Company, may have adverse effects on our financial condition and results of operations, and may cause unanticipated liabilities.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Future acquisitions may involve the issuance of our equity securities as payment, in part or in full, for the businesses or assets acquired. Any future issuances of equity securities would dilute stockholder ownership interests. In addition, future acquisitions might not increase, and may even decrease, our earnings or earnings per share and the benefits derived by us from an acquisition might not outweigh or might not exceed the dilutive effect of the acquisition. We also may incur additional debt or suffer adverse tax and accounting consequences in connection with any future acquisitions.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electronic data is compromised, or we experience a failure in our information technology or storage systems, our business could be significantly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our business partners maintain significant amounts of data electronically in locations around the world. This data relates to all aspects of our business, including current and future products and services under development, and also contains certain customer, supplier, partner, and employee data. Our ability to execute our business strategy depends, in part, on the continued and uninterrupted performance of our information technology systems, which support our operations. We maintain systems and processes designed to protect this data, but notwithstanding such protective measures, there is a risk of intrusion, cyberattacks, tampering, theft, misplaced or lost data, programming and/or human errors that could compromise the integrity and privacy of this data,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High-profile security breaches at other companies and in government agencies have increased in recent years, and cyber-attacks are becoming more sophisticated and frequent, and in some cases have caused significant harm. Computer hackers and others routinely attempt to breach the security of technology products, services and systems, and to fraudulently induce employees, customers, or others to disclose information or unwittingly provide access to systems or data. While we devote significant resources to security measures to protect our systems and data, these measures cannot provide absolute security.</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provide confidential and proprietary information to our third-party business partners in certain cases where doing so is necessary to conduct our business. While we obtain assurances from those parties that they have systems and processes in place to protect such data, and where applicable, that they will take steps to assure the protections of such data by third parties, nonetheless those partners may also be subject to data intrusion or otherwise compromise the protection of such data. Any compromise of the confidential data of our customers, suppliers, partners, employees, or ourselves, or failure to prevent or mitigate the loss of or damage to this data through breach of our information technology systems or other means could substantially disrupt our operations, harm our customers, employees and other business partners, damage our reputation, violate applicable laws and regulations, subject us to potentially significant costs and liabilities and result in a loss of business that could be material. We operate a number of critical computer systems throughout our business that can fail for a variety of reasons. If such a failure were to occur, we may not be able to sufficiently recover from the failure in time to avoid the loss of data or any adverse impact on certain of our operations that are dependent on such systems. This could result in lost sales and the inefficient operation of our facilities for the duration of such a failure.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which could make us unable to fund our capital requirements and our stockholders may be diluted by future securities offerings.</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or by entering into credit facilities or securing other types of financing. Additional financing may not be available on favorable terms or at all. If adequate funds are not available on acceptable terms, or at all, we may be unable to fund our capital requirements. Further, we may be restricted in our ability to access existing sources of liquidity.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actual events involving limited liquidity, defaults, non-performance, or other adverse developments that affect financial institutions, transactional counterparties, or other companies in the financial services industry as well as concerns or rumors regarding such events, could adversely affect the financial services industry generally and our liquidity and financial condition. If banks or financial institutions enter receivership or become insolvent in response to financial conditions affecting the banking system and financial markets, our ability to raise additional financing or to access our existing cash, cash equivalents and investments may be threatened.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incur new debt, the debt holders would have rights senior to common stockholders to make claims on our assets, and the terms of any debt could restrict our operations, including our ability to pay dividends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significant attrition within our management team or unsuccessful succession planning could adversely affect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attract, retain, and motivate senior management and other key employees. Achieving this objective may be difficult due to many factors, including fluctuations in global economic and industry conditions, competitors’ hiring practices, cost reduction activities, and the effectiveness of our compensation programs. Competition for qualified personnel can be very intense. We must continue to recruit, retain, and motivate senior management and other key employees sufficient to maintain our current business and support our future projects. We are vulnerable to attrition among our current senior management team and other key employees. A loss of any such personnel, or the inability to recruit and retain qualified personnel in the future, could have an adverse effect on our business, financial condition and results of operations. In 2025, certain members of our senior leadership team departed, and we appointed new executive officers, including internal promotions to the Chief Financial Officer and Chief Operating Officer roles. Although these executives have prior experience with the Company and we believe we have maintained operational continuity, leadership transitions may result in temporary disruption, changes in strategic direction, or uncertainty among employees, customers, or other stakeholders. Any additional attrition among senior management or key employees, or any failure of our succession planning efforts, could adversely affect our business, financial condition, and results of operations.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our financial position, results of operations, and cash flows.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income and non-income tax regimes we are subject to or operate under are unsettled and may be subject to significant change. Changes in tax laws or tax rulings, or changes in interpretations of existing laws, could materially affect our financial position, results of operations, and cash flows. The overall tax environment remains uncertain and increasingly complex. Future changes in tax laws, treaties or regulations, and their interpretation or enforcement, may be unpredictable, particularly as taxing jurisdictions face an increasing number of political, budgetary, and other fiscal challenges. In the U.S., various proposals to change corporate income taxes are periodically considered. Tax rates in the jurisdictions in which we operate may change as a result of macroeconomic and other factors outside of our control, making it increasingly difficult to operate with certainty about taxation. For example, changes to U.S. tax laws enacted in December 2017 had a significant impact on our tax obligations and effective tax rate beginning 2018, and the full consequences of the significant changes to U.S. tax laws as a result of the Tax Cuts and Jobs Act of 2017 have not yet been fully determined. These enactments and future possible guidance from the applicable taxing authorities may have a material impact on our results of operations. In addition, regulatory or legislative developments may arise from various U.S. tax reform proposals, some of which include proposed changes to the U.S. tax laws, which, if adopted, could result in increased taxation of our business operations. We closely monitor these proposals as they arise in the countries where it operates. Changes to the statutory tax rate may occur at any time, and any related expense or benefit recorded may be material to the fiscal quarter and year in which the law change is enacted. We regularly assess the likely outcomes of our tax audits and disputes to determine the appropriateness of our tax reserves. However, any tax authority could take a position on tax treatment that is contrary to our expectations, which could result in tax liabilities in excess of reserves.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keep pace with developments in technology could impair our operations or competitive position.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continues to demand the use of sophisticated systems and technology. These systems and technologies must be refined, updated, and replaced with more advanced systems on a regular basis in order for us to meet our customers’ demands and expectations. If we are unable to do so on a timely basis or within reasonable cost parameters, or if we are unable to appropriately and timely train our employees to operate any of these new systems, our business could suffer. We also may not achieve the benefits that we anticipate from any new system or technology, such as fuel abatement technologies, and a failure to do so could result in higher than anticipated costs or could impair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 and you may lose all or a part of your investment.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price of our securities may be volatile and subject to wide price fluctuations in response to various factors, including:</w:t>
      </w:r>
    </w:p>
    <w:p>
      <w:pPr>
        <w:spacing w:after="0" w:line="4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market conditions in the broader stock market;</w:t>
      </w:r>
    </w:p>
    <w:p>
      <w:pPr>
        <w:spacing w:after="0" w:line="40" w:lineRule="exact"/>
        <w:rPr>
          <w:rFonts w:ascii="Times New Roman" w:cs="Times New Roman" w:eastAsia="Times New Roman" w:hAnsi="Times New Roman"/>
          <w:sz w:val="36"/>
          <w:szCs w:val="36"/>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actual or anticipated fluctuations in our quarterly financial condition and results of operations, or those of other companies in our industry;</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actual or anticipated strategic, technological, or regulatory threats, whether or not warranted by actual events;</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whether any securities analysts cover our stock;</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issuance of new or changed securities analysts’ reports or recommendations, if any;</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investor perceptions of our Company, the lithium battery and accessory industry;</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the volume of trading in our stock;</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changes in accounting standards, policies, guidance, interpretations, or principles;</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sales, or anticipated sales, of large blocks of our stock;</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additions or departures of key management personnel, creative, or other talent;</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regulatory or political developments, including changes in laws or regulations that are applicable to our business;</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litigation and governmental investigations;</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sales or distributions of our common stock by significant stockholders, the entity through which our controlling stockholder holds its investment, or other insiders;</w:t>
      </w: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natural disasters and other calamities; and</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macroeconomic conditions.</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stock market has experienced extreme volatility that in some cases has been unrelated or disproportionate to the operating performance of particular companies. These and other factors may cause the market price and demand for our securities to fluctuate substantially, which may limit or prevent investors from readily selling their securities and it may otherwise negatively affect the liquidity of our securities.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 and you may not receive any return on investment unless you sell your common stock for a price greater than that which you paid for it.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anticipate paying any dividends in the foreseeable future on our common stock. We intend to retain all future earnings for the operation and expansion of our business and the repayment of outstanding debt. Any future debt facilities we may enter into may contain restrictions on our ability to pay dividends or make distributions, and any new credit facilities we may enter into may contain similar restrictions. As a result, capital appreciation, if any, of our common stock may be your major source of gain for the foreseeable future. While we may change this policy at some point in the future, we cannot assure you that we will make such a change.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may be influenced by the research and reports that securities or industry analysts publish about us or our business (or the absence of such research or reports). If one or more of these analysts cease coverage of our Company or fail to publish reports on us regularly, we could lose visibility in the financial markets, which in turn could cause our stock prices or trading volume to decline. Moreover, if one or more of the analysts who cover us downgrade recommendations regarding our stock, or if our results of operations do not meet their expectations, our stock prices could decline and such decline could be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will experience additional dilution upon the exercise of options and warrants to purchase our common stock, including those options currently outstanding and possibly those granted in the future, and the issuance of restricted stock or other equity awards under our stock incentive plans. As of December 31, 2025, we had 200,000,000 shares of common stock authorized, of which 9,781,739 were issued. In January 2025, we completed a registered direct offering and concurrent private placement pursuant to which we issued shares of common stock and warrants to purchase shares of common stock, and in October 2025 we issued shares of common stock and pre-funded warrants in a private placement. See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for additional information regarding the offerings.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outstanding warrants to purchase up to 1,359,907 shares of common stock, as well as 144,498 pre-funded warrants, and 269,219 shares of common stock issuable upon the exercise or settlement of equity incentive awards outstanding under our 2021 Incentive Award Plan.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Incorporation authorizes us to issue shares of common stock and options, rights, warrants, and appreciation rights relating to common stock for the consideration and on the terms and conditions established by our Board in its sole discretion, whether in connection with our incentive plans, acquisitions, or otherwise. We have reserved shares of common stock for issuance under the 2021 Incentive Award Plan and 2021 Employee Stock Purchase Plan. Any common stock that we issue, including stock issued under our 2021 Incentive Award Plan or other equity incentive plans that we may adopt in the future, as well as under outstanding options or warrants, would dilute the percentage ownership held by our common stockholders. In addition, we have sold, and may continue to sell, shares of common stock under our at-the-market program, which may result in additional dilution. To the extent we raise additional capital by issuing equity securities, our stockholders may also experience substantial additional dilution.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securities in the public markets, or the perception that such sales might occur, could reduce the price of our securities and may dilute your voting power and your ownership interest in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existing stockholders sell substantial amounts of our securities in the public market, including the shares of common stock issued or issuable upon the exercise of outstanding warrants or warrants that may be issued in the future, and shares issued as consideration in any future acquisitions, or the market perceives that such sales may occur, the market price of our securities could fall and we may be unable to sell our securities in the future.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Operations—August 2024 Public Offering and Subsequent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Exercises and Adjustments to Warrant Exercise and Reset Prices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—January 2025 Registered Direct Offering and Warrant Private Placement</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regarding the August 2024 Public Offering and January 2025 Registered Direct Offering, respectively. The perception in the public market that our stockholders might sell securities could also depress our market price. As of March 11, 2026, we had 10,846,135 shares of common stock outstanding. Pursuant to the terms of the warrants issued to the underwriters (or their designees) in connection with our initial public offering (the “Underwriter Warrants”), the holders of the Underwriter Warrants have the right, subject to certain conditions, to require us to register the sale of the shares of our common stock underlying their Underwriter Warrants under the Securities Act.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holders of the Underwriter Warrants exercise their registration rights, the market price of shares of our securities may drop significantly. In addition, all of the shares of common stock issuable upon exercise of outstanding options under the 2021 Incentive Award Plan and all of the shares of common stock issuable pursuant to the 2021 Employee Stock Purchase Plan have been registered for public resale under the Securities Act. A decline in the price of shares of our securities might impede our ability to raise capital through the issuance of additional shares of our common stock or other equity securities.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our common stock is listed on Nasdaq, the exchange could subsequently delist our common stock if we fail to comply with ongoing listing standards.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We are required to meet specified financial requirements in order to maintain such listing, including a requirement that the bid price for our common stock remain above $1.00. On January 29, 2026, we received a determination from The Nasdaq Listing Qualifications Department (the “Staff”) of The Nasdaq Stock Market (“Nasdaq”) to delist our common stock from Nasdaq if the closing bid price does not exceed $1.00 for a minimum of ten consecutive business days within the compliance period of 180 calendar days. See the section titled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for further information on the delisting notice.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shares of our common stock continue to be listed and traded on Nasdaq, there can be no assurance that we will continue to meet Nasdaq listing standards. Any potential delisting of our common stock from Nasdaq may have materially adverse consequences to our stockholders, including:</w:t>
      </w:r>
    </w:p>
    <w:p>
      <w:pPr>
        <w:spacing w:after="0" w:line="189" w:lineRule="exact"/>
        <w:rPr>
          <w:sz w:val="20"/>
          <w:szCs w:val="20"/>
          <w:color w:val="auto"/>
        </w:rPr>
      </w:pPr>
    </w:p>
    <w:p>
      <w:pPr>
        <w:ind w:left="540" w:right="20"/>
        <w:spacing w:after="0" w:line="281" w:lineRule="auto"/>
        <w:rPr>
          <w:sz w:val="20"/>
          <w:szCs w:val="20"/>
          <w:color w:val="auto"/>
        </w:rPr>
      </w:pPr>
      <w:r>
        <w:rPr>
          <w:rFonts w:ascii="Times New Roman" w:cs="Times New Roman" w:eastAsia="Times New Roman" w:hAnsi="Times New Roman"/>
          <w:sz w:val="18"/>
          <w:szCs w:val="18"/>
          <w:color w:val="auto"/>
        </w:rPr>
        <w:t>a reduced market price and liquidity with respect to our shares of common stock, which could make our ability to raise new investment capital more difficult;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-265430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limited dissemination of the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limited news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limited interest by investors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volatility of the prices of our common stock due to low trading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line="281" w:lineRule="auto"/>
        <w:rPr>
          <w:sz w:val="20"/>
          <w:szCs w:val="20"/>
          <w:color w:val="auto"/>
        </w:rPr>
      </w:pPr>
      <w:r>
        <w:rPr>
          <w:rFonts w:ascii="Times New Roman" w:cs="Times New Roman" w:eastAsia="Times New Roman" w:hAnsi="Times New Roman"/>
          <w:sz w:val="18"/>
          <w:szCs w:val="18"/>
          <w:color w:val="auto"/>
        </w:rPr>
        <w:t>our common stock being considered a “penny stock,” which would result in broker-dealers participating in sales of our common stock being subject to the regulations set forth in Rules 15g-2 through 15g-0 promulgated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-265430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540"/>
        <w:spacing w:after="0" w:line="313" w:lineRule="auto"/>
        <w:rPr>
          <w:sz w:val="20"/>
          <w:szCs w:val="20"/>
          <w:color w:val="auto"/>
        </w:rPr>
      </w:pPr>
      <w:r>
        <w:rPr>
          <w:rFonts w:ascii="Times New Roman" w:cs="Times New Roman" w:eastAsia="Times New Roman" w:hAnsi="Times New Roman"/>
          <w:sz w:val="18"/>
          <w:szCs w:val="18"/>
          <w:color w:val="auto"/>
        </w:rPr>
        <w:t>increased difficulty in selling our common stock in certain states due to “blue sky” restrictions; and limited ability to issue additional securities or secure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-300355</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-146050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may result in a substantial increase in the number of shares of our common stock that are outstanding.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19,564,585 Series A Warrants exercisable for 901,943 shares of common stock at $1.31 per share, and 46,246 Series B Warrants exercisable for 2,132 shares of common stock, at $0.10 per share, and 449,193 January 2025 Warrants exercisable for 449,193 shares of common stock at $1.31 per share were outstanding. The exercise of these warrants could result and have resulted in a substantial increase in the number of shares of common stock outstanding and therefore materially dilute the ownership percentage of currently outstanding shares of common stock. See “</w:t>
      </w:r>
      <w:r>
        <w:rPr>
          <w:rFonts w:ascii="Times New Roman" w:cs="Times New Roman" w:eastAsia="Times New Roman" w:hAnsi="Times New Roman"/>
          <w:sz w:val="18"/>
          <w:szCs w:val="18"/>
          <w:i w:val="1"/>
          <w:iCs w:val="1"/>
          <w:color w:val="auto"/>
        </w:rPr>
        <w:t>Note 7, Equity and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Financings</w:t>
      </w:r>
      <w:r>
        <w:rPr>
          <w:rFonts w:ascii="Times New Roman" w:cs="Times New Roman" w:eastAsia="Times New Roman" w:hAnsi="Times New Roman"/>
          <w:sz w:val="18"/>
          <w:szCs w:val="18"/>
          <w:color w:val="auto"/>
        </w:rPr>
        <w:t>” for additional information regarding the offerings.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Series A Warrants and Series B Warrants we sold in the August 2024 Public Offering may discourage an acquisition of us by a third party.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provisions of the Series A Warrants and Series B Warrants we sold in the August 2024 Public Offering could make it more difficult or expensive for a third-party to acquire us. The Series A Warrants and Series B Warrants each prohibit us from engaging in certain transactions constituting “fundamental transactions” unless, among other things, the surviving entity assumes our obligations under the applicable warrants. These and other provisions of the Series A Warrants and Series B Warrants could prevent or deter a third-party from acquiring us even where the acquisition could be beneficial to our investors.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A Warrants and Series B Warrants may have an adverse effect on the market price of our common stock and make it more difficult to effect a business combination.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we issue shares of common stock to affect a future business combination, the potential for the issuance of a substantial number of additional shares of common stock upon exercise of the Series A Warrants and, to a lesser extent, the Series B Warrants could make us a less attractive acquisition vehicle in the eyes of a target business. Such Series A Warrants and Series B Warrants, when exercised, will increase the number of issued and outstanding shares of common stock and reduce the value of the shares issued to complete the business combination. Accordingly, the Series A and Series B Warrants may make it more difficult to effectuate a business combination or increase the cost of acquiring a target business. Additionally, the sale, or even the possibility of a sale, of the shares of common stock underlying the August 2024 Pre-Funded Warrants, Series A Warrants, and Series B Warrants could have an adverse effect on the market price for our securities or on our ability to obtain future financing. If and to the extent the Series A Warrants and Series B Warrants are exercised, our investors may experience dilution to their holdings.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considerable legal costs as a result of operating as a public company, and our management will be required to devote substantial time to comply with public company regulations.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and particularly after we cease to be an “emerging growth company,” as defined in the JOBS Act, we will continue to incur significant legal, accounting and other expenses. In addition, the Sarbanes-Oxley Act of 2002 (“Sarbanes-Oxley”), as well as rules promulgated by the SEC and Nasdaq require us to adopt corporate governance practices applicable to U.S. public companies. Compliance with these rules and regulations will continue to increase our legal and financial compliance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Sarbanes-Oxley, as well as rules and regulations subsequently implemented by the SEC and Nasdaq, have imposed increased disclosure and enhanced corporate governance practices for public companies. Our efforts to continue to comply with evolving laws, regulations, and standards are likely to result in increased expenses and a diversion of management’s time and attention from revenue-generating activities to compliance activities. We may not be successful in continuing to implement these requirements and implementing them could adversely affect our business, results of operations, and financial condition. In addition, if we fail to implement the requirements with respect to our internal accounting and audit functions, our ability to report our financial results on a timely and accurate basis could be impaired.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These obligations and constituents require significant attention from our senior management and can divert their attention away from the day-to-day management of our business, which can harm our business, results of operations,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elect to comply with certain reduced reporting requirements applicable to emerging growth companies, which could make our securities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Sarbanes-Oxley,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securities less attractive because we chose to rely on these exemptions.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107 of the JOBS Act also provides that an “emerging growth company” can take advantage of the extended transition period provided in Section 7(a)(2)(B) of the Securities Act for complying with new or revised accounting standards. We choose to avail ourselves of this extended transition period and defer adoption of certain changes in accounting standards.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Section 101 of the JOBS Act, the “emerging growth company” classification can be retained for up to five years following our initial public offering or until the earlier occurrence of the following: the last day of the fiscal year (a) following the fifth anniversary of the completion of this offering,</w:t>
      </w:r>
    </w:p>
    <w:p>
      <w:pPr>
        <w:jc w:val="both"/>
        <w:ind w:right="20" w:firstLine="8"/>
        <w:spacing w:after="0" w:line="255"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$1.235 billion, or (c) in which we deemed to be a large accelerated filer, which means the market value of our common stock that is held by non-affiliates exceeded $700.0 million as of the prior June 30; or the date on which we have issued more than $1.0 billion in non-convertible debt securities during the prior three-year period.</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some investors find our securities less attractive as a result of any choices to reduce future disclosure, there may be a less active market for our securities and our stock price may be more volatile.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in accordance with Section 404 of Sarbanes-Oxley could have a material adverse effect on our business and stock price.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required to comply with certain SEC rules that implement Sections 302 and 404 of Sarbanes-Oxley, which require management to certify financial and other information in our quarterly and annual reports and provide an annual management report on the effectiveness of our internal control over financial reporting. Though we are required to disclose changes made in our internal control procedures on a quarterly basis, we take advantage of certain exceptions from reporting requirements that are available to “emerging growth companies” under the JOBS Act. For example, each independent registered public accounting firm that performs an audit for us has not been required to attest to and report on our annual assessment of our internal controls over financial reporting pursuant to Section 404 and will not be required to do so until we are no longer an “emerging growth company” as defined in the JOBS Act and a non-accelerated filer in accordance with Rule 12b-2 under the Exchange Act. While we expect to be ready to comply with Section 404 of Sarbanes-Oxley by the applicable deadline, we cannot assure you that this will be the case. Furthermore, we may identify material weaknesses that we may be unable to remediate in time to meet the applicable deadline imposed upon us for compliance with the requirements of Section 404 of Sarbanes-Oxley. In addition, if we fail to achieve and maintain the adequacy of our internal controls, as such standards are modified, supplemented or amended from time to time, we may be unable to conclude that we have effective internal controls over financial reporting in accordance with Section 404 of Sarbanes-Oxley. If we are unable to implement the requirements of Section 404 of Sarbanes-Oxley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have a material adverse effect on our business, prospects, results of operations, and financial condition.</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shares become subject to the penny stock rules, it would become more difficult to trade our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or another national securities exchange and if the price of our common stock is less than $5.00, our common stock could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w:t>
      </w:r>
    </w:p>
    <w:p>
      <w:pPr>
        <w:spacing w:after="0" w:line="1" w:lineRule="exact"/>
        <w:rPr>
          <w:sz w:val="20"/>
          <w:szCs w:val="20"/>
          <w:color w:val="auto"/>
        </w:rPr>
      </w:pPr>
    </w:p>
    <w:p>
      <w:pPr>
        <w:jc w:val="both"/>
        <w:ind w:firstLine="8"/>
        <w:spacing w:after="0" w:line="255" w:lineRule="auto"/>
        <w:tabs>
          <w:tab w:leader="none" w:pos="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lease and debt obligations could adversely affect our ability to raise additional capital to fund operations and limit our ability to enter into certain transactions.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had total liabilities of $1.5 million, of which $710,000 was related to operating lease liabilities and $197,000 was related to debt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cannot generate sufficient cash flow from operations to service our lease and any current or future debt obligations, we may need to refinance such obligations, dispose of assets, or issue equity to obtain necessary funds. We do not know whether we will be able to do any of this on a timely basis or on terms satisfactory to us,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and debt obligations we have or may incur in the future could have important consequences, including:</w:t>
      </w:r>
    </w:p>
    <w:p>
      <w:pPr>
        <w:spacing w:after="0" w:line="225" w:lineRule="exact"/>
        <w:rPr>
          <w:sz w:val="20"/>
          <w:szCs w:val="20"/>
          <w:color w:val="auto"/>
        </w:rPr>
      </w:pPr>
    </w:p>
    <w:p>
      <w:pPr>
        <w:ind w:left="660" w:right="20" w:hanging="328"/>
        <w:spacing w:after="0" w:line="184" w:lineRule="auto"/>
        <w:tabs>
          <w:tab w:leader="none" w:pos="660" w:val="left"/>
        </w:tabs>
        <w:numPr>
          <w:ilvl w:val="0"/>
          <w:numId w:val="1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our ability to obtain additional debt or equity financing for working capital, capital expenditures, debt service requirements, acquisitions, and general corporate or other purposes may be limited;</w:t>
      </w:r>
    </w:p>
    <w:p>
      <w:pPr>
        <w:ind w:left="660" w:hanging="328"/>
        <w:spacing w:after="0" w:line="180" w:lineRule="auto"/>
        <w:tabs>
          <w:tab w:leader="none" w:pos="660" w:val="left"/>
        </w:tabs>
        <w:numPr>
          <w:ilvl w:val="0"/>
          <w:numId w:val="1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 portion of our cash flows from operations will be dedicated to payments on our lease and debt obligations and will not be available for other purposes, including operations, capital expenditures, and future business opportunities;</w:t>
      </w:r>
    </w:p>
    <w:p>
      <w:pPr>
        <w:ind w:left="660" w:right="20" w:hanging="328"/>
        <w:spacing w:after="0" w:line="180" w:lineRule="auto"/>
        <w:tabs>
          <w:tab w:leader="none" w:pos="660" w:val="left"/>
        </w:tabs>
        <w:numPr>
          <w:ilvl w:val="0"/>
          <w:numId w:val="1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may be vulnerable in a downturn in general economic conditions or in business or may be unable to carry on capital spending that is important to our growth;</w:t>
      </w:r>
    </w:p>
    <w:p>
      <w:pPr>
        <w:ind w:left="660" w:hanging="328"/>
        <w:spacing w:after="0" w:line="180" w:lineRule="auto"/>
        <w:tabs>
          <w:tab w:leader="none" w:pos="660" w:val="left"/>
        </w:tabs>
        <w:numPr>
          <w:ilvl w:val="0"/>
          <w:numId w:val="1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any debt agreements we enter into may contain restrictive covenants that impose operating and financial restrictions on us, including limitations on our ability to incur additional indebtedness, pay dividends, or enter into certain transactions;</w:t>
      </w:r>
    </w:p>
    <w:p>
      <w:pPr>
        <w:ind w:left="660" w:hanging="328"/>
        <w:spacing w:after="0" w:line="180" w:lineRule="auto"/>
        <w:tabs>
          <w:tab w:leader="none" w:pos="660" w:val="left"/>
        </w:tabs>
        <w:numPr>
          <w:ilvl w:val="0"/>
          <w:numId w:val="13"/>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our ability to introduce new products or new technologies or exploit business opportunities may be restricted; and</w:t>
      </w:r>
    </w:p>
    <w:p>
      <w:pPr>
        <w:spacing w:after="0" w:line="40" w:lineRule="exact"/>
        <w:rPr>
          <w:rFonts w:ascii="Times New Roman" w:cs="Times New Roman" w:eastAsia="Times New Roman" w:hAnsi="Times New Roman"/>
          <w:sz w:val="25"/>
          <w:szCs w:val="25"/>
          <w:color w:val="auto"/>
          <w:vertAlign w:val="subscript"/>
        </w:rPr>
      </w:pPr>
    </w:p>
    <w:p>
      <w:pPr>
        <w:ind w:left="660" w:hanging="328"/>
        <w:spacing w:after="0" w:line="180" w:lineRule="auto"/>
        <w:tabs>
          <w:tab w:leader="none" w:pos="660" w:val="left"/>
        </w:tabs>
        <w:numPr>
          <w:ilvl w:val="0"/>
          <w:numId w:val="13"/>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we may be placed at a disadvantage compared with competitors that have proportionately less lease and debt obligations.</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provide that the Nevada Eighth Judicial District Court of Clark County, Nevada shall be the exclusive forum for certain litigation that may be initiated by our stockholders, including claims under the Securities Act, which could limit our stockholders’ ability to obtain a favorable judicial forum for disputes with us or our directors, officers, or employees.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provide that, subject to limited exceptions, the Nevada Eighth Judicial District Court of Clark County, Nevada shall be, to the fullest extent permitted by law, the sole and exclusive forum for: (i) any derivative action or proceeding brought in the name or right of the Corporation or on its behalf, (ii) any action asserting a claim for breach of a fiduciary duty owed by any of our directors, officers, employees, or agents to us or our stockholders, (iii) any action asserting a claim arising pursuant to any provision of Nevada Revised Statutes Chapters 78 or 92A, our Articles of incorporation, or our Bylaws, (iv) any action to interpret, apply, enforce, or determine the validity of our Articles of Incorporation or Bylaws, or (v) any action asserting a claim governed by the internal affairs doctrine.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these choice of forum provisions would not apply to suits brought to enforce any duty or liability created by the Exchange Act or rules and regulations thereunder, and suits brought to enforce the Securities Act or rules and regulations thereunder are granted concurrent jurisdiction in federal and state courts pursuant to preemptive federal law, these choice of forum provisions may otherwise limit a stockholder’s ability to bring a claim in a judicial forum that it finds favorable for disputes with us or our directors, officers, employees or agents, which may discourage such lawsuits against us and our directors, officers, employees and agents. Stockholders who do bring a claim in the Nevada Eighth Judicial District Court of Clark County, Nevada could face additional litigation costs in pursuing any such claim, particularly if they do not reside in or near the State of Nevada. The Nevada Eighth Judicial District Court of Clark County, Nevada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1C. CYBERSECURITY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an information security and cybersecurity program, as well as a cybersecurity governance framework, which are designed to protect our information systems against operational risks related to 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which include, among other things, operational risks, intellectual property theft, fraud or extortion, harm to employees or customers, violation of privacy or security laws and related litigation and legal risk, and reputational risks.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and detect and contain any cybersecurity incidents that impact us. We regularly engage with third-party consultants in connection with our cybersecurity risk management program, which is overseen by our Chief Operating Officer. The program is integrated into our overall risk management systems and processes, and includes a cybersecurity risk assessment process that routinely evaluates potential impacts of cybersecurity risks on our business, including our operations, financial stability, and reputation. The Audit Committee also reviews with management the implementation and effectiveness of the Company’s controls to monitor and mitigate cybersecurity risks.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also includes processes to triage, assess the severity of, escalate, contain, investigate, and remediate an incident, as well as to comply with potentially applicable legal obligations and mitigate brand and reputational damage. If a cybersecurity incident is determined to be a potentially material cybersecurity incident, our disclosure controls and procedures define the steps to determine materiality and disclose such a material cybersecurity incident.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While we do not believe that our business strategy, results of operations, or financial condition have been materially adversely affected by any cybersecurity incidents, cybersecurity threats are pervasive and, similar to other global financial institutions, we, as well as our employees, customers, regulators, service providers, and other third parties have experienced a significant increase in information security and cybersecurity risk in recent years and will likely continue to be the target of cyber attacks. We continue to assess the risks and changes in the cyber environment, invest in enhancements to our cybersecurity capabilities, and engage in industry and government forums to promote advancements in our cybersecurity capabilities, as well as the broader financial services cybersecurity ecosystem. For more information on risks to us from cybersecurity threats, see the section titled “</w:t>
      </w:r>
      <w:r>
        <w:rPr>
          <w:rFonts w:ascii="Times New Roman" w:cs="Times New Roman" w:eastAsia="Times New Roman" w:hAnsi="Times New Roman"/>
          <w:sz w:val="18"/>
          <w:szCs w:val="18"/>
          <w:i w:val="1"/>
          <w:iCs w:val="1"/>
          <w:color w:val="auto"/>
        </w:rPr>
        <w:t>Risk Factors—If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electronic data is compromised, or we experience a failure in our information technology or storage systems, our business could be significantly harmed</w:t>
      </w:r>
      <w:r>
        <w:rPr>
          <w:rFonts w:ascii="Times New Roman" w:cs="Times New Roman" w:eastAsia="Times New Roman" w:hAnsi="Times New Roman"/>
          <w:sz w:val="18"/>
          <w:szCs w:val="18"/>
          <w:color w:val="auto"/>
        </w:rPr>
        <w:t>” included within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actively involved in overseeing risks from cybersecurity threats. At least once a year, our Board discusses our programs and policies related to cybersecurity and risk initiatives and considers them closely both from a risk management perspective and as part of our business strategy. Our Audit Committee has the authority to oversee and review the adequacy of our cybersecurity, information and technology security, and data privacy programs, procedures, and policies.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regularly receives updates from management with respect to our efforts to manage data protection, cybersecurity, and information and technology risks, and assesses the results of reviews from internal audits. Materials presented to our Audit Committee include updates on our data security posture, results from internal audit and third-party assessments, our incident response plan, and certain cybersecurity threat risks or incidents and developments, as well as the steps management has taken to respond to such risks. The Audit Committee also regularly engages with Management on technology risk-related topics.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processes also allow for our Board and the Audit Committee to be informed of key cybersecurity risks outside the regular reporting schedule. While regular meetings of the Audit Committee are scheduled on a quarterly cadence, the Audit Committee is authorized to meet with management or individual directors at any time it deems appropriate to discuss matters relevant to the committee. Our policy is for the Board and the Audit Committee to receive prompt and timely information regarding any significant cybersecurity incidents, as well as ongoing updates regarding any such incidents.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headquarters are in Redmond, Oregon, and house our engineering, sales, accounting, and operations staff. Our primary product warehouse is also located there. Our headquarters is approximately 15,000 square feet, leased at a base rent that increases 3.0% annually on January 31st of each year. From January 31, 2025 to January 30, 2026, the rental cost of our headquarters is approximately $20,200 per month.</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of 2025, we leased a warehouse facility next door to our existing warehouse in Redmond, Oregon. The square footage of this facility is approximately 6,545 square feet, and from May 1, 2025 to April 30, 2028, the rental cost of this warehouse is approximately $6,545 per month.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lease a property in Elkhart, Indiana that provides office space for sales associates and a stocking location for several large manufacturers in the area. Elkhart is a hub for RV manufacturing in the United States. The square footage of this facility is approximately 7,000 square feet and rental cost is approximately $4,900 per month.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these facilities are sufficient to meet our current and anticipated needs in the near term and that additional space can be obtained on commercially reasonable terms as needed.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become, from time to time, involved in routine litigation or subject to disputes or claims related to our business activities. We are not currently party to any pending legal proceedings that we believe would, individually or in the aggregate, have a material adverse effect on our financial condition, cash flows, or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29, 2026, we received a determination from the Staff that the bid price of the common stock had closed below the $1.00 minimum required by Nasdaq Listing Rule 5550(a)(2) for the prior 30 consecutive business days (the “Minimum Bid Price Requirement”) and that the Staff had determined to delist our securities from the Nasdaq Capital Market subject to a compliance period. Nasdaq provided us with a 180-calendar day compliance period, or until July 28, 2026, to regain compliance with the listing rule. We are currently evaluating options to regain compliance and intend to timely regain compliance with the Minimum Bid Price Requirement. Under Nasdaq rules, we are currently eligible to conduct a reverse stock split of our common stock to regain compliance if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common stock began trading on Nasdaq on April 1, 2022 under the symbol “XPON.” As of March 11, 2026, there were approximately 17 registered holders of our common stock, which does not include beneficial owners of our common stock whose shares are held in the names of various securities brokers, dealers, and registered clearing agencies.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declaring or paying any cash dividends on our common stock in the foreseeable future. We currently intend to retain all available funds and any future earnings to support our operations and finance the growth and development of our business. Any future determination related to our dividend policy will be made at the discretion of our Board and will depend upon, among other factors, our results of operations, financial condition, capital requirements, contractual restrictions, business prospects, and other factors our Board may deem relevant. Further, any future debt facilities we may enter into may contain restrictions on our ability to pay dividends or make distributions, and any new credit facilities we may enter into may contain similar restrictions.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Item 201(e)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financial statements and related notes for the years ended December 31, 2025 and 2024, included in this Annual Report. Our future financial condition and results of operations, as well as any forward-looking statements, are subject to inherent risks and uncertainties that may adversely impact our operations and financial results. These risks and uncertainties are discussed in this Annual Report, including in Item 1A. “Risk Factors” and “Cautionary Note Concerning Forward-Looking Statements and Industry Data.” Percentage amounts included in this section have not in all cases been calculated on the basis of rounded figures, but on the basis of such amounts prior to rounding. For this reason, percentage amounts in this section may vary from those obtained by performing the same calculations using the figures in our financial statements included elsewhere in this Annual Report. Certain other amounts that appear in this section may not sum due to rounding.</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i w:val="1"/>
          <w:iCs w:val="1"/>
          <w:color w:val="auto"/>
        </w:rPr>
        <w:t>Unless otherwise noted, all references to share and per share data, as well as stockholders’ equity balances for the years ended December 31, 2025 and 2024 presented in this section, have been adjusted retroactively to reflect a 1-for-100 reverse stock split, which was effective at 5:00 p.m. Pacific Time on October 8, 2024 (the “Reverse Stock Split”). See “Management’s Discussion and Analysis of Financial Condition and Results of Operations—Reverse Stock Split and Reverse Stock Split True-Up Payment” below for additional information about the Reverse Stock Split.</w:t>
      </w: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Expion360 focuses on the design, assembly, manufacturing, and sale of lithium iron phosphate (“LiFePO4”) batteries and supporting accessories for recreational vehicles (“RVs”), marine applications, and industrial energy storage products. Our high-powered, lithium battery solutions incorporate innovative concepts and have been designed to include some of the most dense and minimal-footprint batteries in the RV and marine industries. We deploy intellectual property strategies to support product development, enhance safety and performance, and strengthen relationships across our target markets. This includes design, development, and collaboration, using our IP to bring safety, quality, and service to our customers. Our customers consist of dealers, wholesalers, private-label customers, and original equipment manufacturers (“OEMs”) who then sell our products to end consumers and drive brand awareness nationally.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target markets include the RV, marine, industrial, and commercial energy storage industries. Within the industrial sector, we participate in applications such as electric material handling and forklift equipment, where lithium battery adoption continues to increase as an alternative to traditional lead-acid systems. We believe the broader transition from lead-acid to lithium batteries presents growth opportunities across these markets.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current focus areas, we are evaluating opportunities to expand further into industrial and mission-critical commercial applications that require integrated battery energy storage solutions. These may include mobile and stationary systems supporting remote operations, security infrastructure, and other high-reliability environments. While we continue to assess these adjacent markets, our current commercial activities remain concentrated in our established RV, marine, and industrial segments.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launched our e360 product line in December 2020, initially targeting the RV and marine industries. The line, through its sales growth, has shown to be a preferred conversion solution for lead-acid batteries.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operate Expion360 as one reportable business segment, Energy Storage (ES).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products provide numerous advantages for various industries that are looking to migrate to lithium-based energy storage. They incorporate detailed design and engineering, strong case materials, optimized internal structural layouts, and are supported by responsive customer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2025 At-The-Market Issuance Sales Agreement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12, 2025 we signed an at-the-market issuance sales agreement. We commenced sales under the agreement in January 2026 and have sold an aggregate of 1,064,396 shares for net proceeds of approximately $932,567 through March 11,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2025 Private Placement and Management Transition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16, 2025, we entered into a securities purchase agreement (the “Purchase Agreement”) with two institutional investors pursuant to which we agreed to sell in a private placement (the “October 2025 Private Placement”) an aggregate of (i) 613,077 shares of common stock, and (ii) a pre-funded warrant (the “October 2025 Pre-Funded Warrant”) to purchase up to 144,498 shares of common stock. The offering price per share was $1.65 and the offering price per pre-funded warrant share was $1.6499.</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received net proceeds of approximately $1.1 million from the October 2025 Private Placement after deducting offering expenses payable by us. We used the net proceeds from the offering to pay severance obligations to certain executive officers that transitioned concurrent with the completion of the October 2025 Private Placement, and for working capital and other general corporate purposes. See “</w:t>
      </w:r>
      <w:r>
        <w:rPr>
          <w:rFonts w:ascii="Times New Roman" w:cs="Times New Roman" w:eastAsia="Times New Roman" w:hAnsi="Times New Roman"/>
          <w:sz w:val="18"/>
          <w:szCs w:val="18"/>
          <w:i w:val="1"/>
          <w:iCs w:val="1"/>
          <w:color w:val="auto"/>
        </w:rPr>
        <w:t>Note 7, Equity and Debt Financings—October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 Placement</w:t>
      </w:r>
      <w:r>
        <w:rPr>
          <w:rFonts w:ascii="Times New Roman" w:cs="Times New Roman" w:eastAsia="Times New Roman" w:hAnsi="Times New Roman"/>
          <w:sz w:val="18"/>
          <w:szCs w:val="18"/>
          <w:color w:val="auto"/>
        </w:rPr>
        <w:t>” for additional information regarding the offering.</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October 2025 Private Placement, Paul Shoun resigned from his role as President and Chairman of the Board, and Brian Schaffner resigned from his role as Chief Executive Officer, but retained his role as Director and also acted as a consultant through the transition period. Also in connection with the private placement, Joseph Hammer was appointed Chief Executive Officer and Chairman of the Board, the Board increased the number of authorized directors from five to six, and Scott Burell was appointed as a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and financial performance are significantly dependent on the following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Demand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are primarily generated from dealers, wholesalers, private-label customers, and OEMs serving the RV, marine, and industrial markets. Because our sales are generally made on a purchase order basis and are not supported by long-term revenue commitments, the demand for our products from these customers depends on consumer demand, and our results of operations are sensitive to changes in customer purchasing patterns. During the year ended December 31, 2025, our revenue increased by 71.6% compared to the prior year. This increase was primarily driven by expanded distribution relationships in the RV and marine channels, increased adoption of our LiFePO4 battery platforms as customers continued transitioning from traditional lead-acid systems, growth in sales to select OEM customers, and contributions from recently introduced product lines, including next-generation GC2, Group 27, and Edge battery models. The growth in sales also reflects improved channel penetration and broader customer adoption of higher-capacity battery configurations. While macroeconomic factors, including interest rates and fuel costs, may influence consumer demand in the RV and marine industries, our recent results reflect increased market acceptance of our products and expansion of our distribution footprint.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recently added several new distributors and OEM customers in RV and marine markets. These relationships contributed to incremental order volume during 2025 and are expected to support revenue growth in 2026, although the timing and magnitude of future orders will continue to remain subject to customer demand and overall market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Supply Chain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batteries are manufactured by multiple third-party manufacturers located in Asia, which also produce our battery cells. While we do not have long-term purchase agreements with these manufacturers and generally transact on a purchase order basis, we maintain strong relationships with our manufacturers and cell suppliers, which have historically enabled us to increase our purchase volumes and qualify for volume-based discounts. The strength of these relationships, together with ongoing supplier negotiations and purchasing strategies, have supported our efforts to manage supply-related costs associated with inflation, currency fluctuations, and U.S. government tariffs imposed on our imports, as well as to mitigate potential shipment delays. We aim to maintain an appropriate level of inventory to satisfy our expected supply requirements. While we believe we could locate suitable alternative third-party manufacturers to fulfill our requirements if needed, transitioning suppliers could require time and result in additional costs.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third-party manufacturers source the raw materials and battery components required for the production of our batteries directly from third-party suppliers that meet our approval and quality standards. Accordingly, pricing for certain raw materials and components is influenced by market conditions and supplier negotiations. We estimate that raw material costs account for over half of our cost of goods sold. Lithium, which is extracted from mined ore, is a key raw material used to produce our battery cells and fluctuations in lithium pricing can affect our battery cell costs. From time to time, changes in raw material availability may influence pricing dynamics or sourcing strategies. Certain of our battery cell manufacturers have factories outside of Asia and have secured sourcing contracts from lithium suppliers in South America and Australia. In addition, we have a secondary source for lithium iron phosphate cells from a supplier in Europe, providing additional geographic diversification and sourcing flexibility.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Industry initiatives to expand lithium production capacity and lithium cell recycling may affect long-term supply dynamics. For example, there is an industry push to provide more efficient ways to extract lithium from mined ore. Another development of the past few years is lithium cell recycling, which recaptures raw lithium from the cell for reuse in future cells. However, notwithstanding efforts to improve the sustainability and efficiency of lithium mining, the price of lithium remains subject to market volatility. We continue to monitor developments that may affect our supply chain.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expects that products sourced from our Asian third-party manufacturers may be subject to additional tariffs in 2026. We intend to mitigate the potential impact on margins through a combination of supplier negotiations, selective customer price adjustments, ongoing cost optimization initiatives, and the development of lower-cost product configurations designed to improve manufacturing efficiency and overall unit economics as sales volumes increase. The effectiveness of these measures will depend on market conditions, sales volume, product mix, and future tariff developments.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additional information regarding supply chain risks, see the section titled “</w:t>
      </w:r>
      <w:r>
        <w:rPr>
          <w:rFonts w:ascii="Times New Roman" w:cs="Times New Roman" w:eastAsia="Times New Roman" w:hAnsi="Times New Roman"/>
          <w:sz w:val="18"/>
          <w:szCs w:val="18"/>
          <w:i w:val="1"/>
          <w:iCs w:val="1"/>
          <w:color w:val="auto"/>
        </w:rPr>
        <w:t>Risk Factors—Our results of operations could be adversely affected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in the cost and availability of raw materials our reliance on third-party manufacturers and suppliers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—Increases in costs, disruption of supply, or shortage of any of our battery components such as electronic and mechanical parts could harm our business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Customer Mix</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sell 14 models of LiFEPO4 batteries, the Aura 600, and various individual or bundled accessories for battery systems. Our products are sold to dealers, wholesalers, private-label customers, and OEMs at differing prices and with varying cost structures. The average selling price and costs of goods sold for a particular product will vary with changes in the sales channel mix, volume of products sold, and the prices of such products sold relative to other products. While we work with our suppliers to limit price and supply cost increases, our products may see price increases resulting from a rise in supply costs due to currency fluctuations, inflation, and tariffs, which may affect pricing and gross margins. Accessory and OEM sales typically have lower average selling prices and resulting margins relative to other distribution channels. As a result, shifts in customer mix could decrease our margins and negatively affect our growth or require us to increase the prices of our products. However, the benefits of increased sales volumes and broader customer penetration typically has, and may continue to, offset the impact of lower-margin product and customer mix. The relative margins of products sold also impact our results of operations. As we introduce new products, we may see a change in product and sales channel mix, which could result in period-to-period fluctuations in our overall gross margin.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compete with both traditional lead-acid and lithium-ion battery manufacturers that primarily either import their products and/or components or manufacture their products and/or components under a private label. As we develop new products and expand into new markets, we may experience competition with a broader range of companies. These companies may have more resources than us and be able to allocate more resources to their current and future products. Our competitors may source products or components at lower costs than us, which may require us to evaluate our own costs, lower our product prices, or increase our sales volume to maintain our expected profitability levels.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research and development to enhance the performance, reliability, and integration capabilities of our LiFePO4 battery systems. Our R&amp;D efforts focus on battery management systems, thermal management, product durability, system integration, and application-specific configurations for the RV, marine, industrial, and specialty vehicle markets.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electrification trends evolve across mobile and stationary applications, customer requirements continue to develop, including demand for improved energy density, communication protocols, remote monitoring capabilities, and system-level integration. Our development initiatives are intended to address these evolving requirements and support competitiveness within our core markets.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We also evaluate emerging technologies and broader industry developments that may influence future product design, including advancements in cell chemistry, system architecture, and energy management software. Artificial intelligence (“AI”) and data-driven analytics are increasingly being incorporated into energy management, predictive maintenance, and supply chain optimization across the battery industry. While AI is not currently a primary driver of our product offerings, we monitor developments in this area and assess potential applications that may enhance system diagnostics, performance monitoring, and operational efficiency over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spending may fluctuate depending on product development cycles, customer requirements, and broader market conditions.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the final requirements to obtain UL Safety Certifications on our new 12V Group 27 100Ah and 132Ah batteries, and on our 12V GC2 battery. Now that these certifications have been completed, all of the batteries produced by us will have a UL Safety Certification, emphasizing our commitment to quality, safety and service for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Line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is generated from the sale of products consisting primarily of batteries and accessories. We recognize revenue when control of goods or services is transferred to our customers in an amount that reflects the consideration it is expected to be entitled to in exchange for those goods or services. Our sales are primarily within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cost of sales as a percentage of sales is related to our direct product and landing costs. Direct labor costs consist of payroll costs (including taxes and benefits) of employees directly engaged in assembly activities. Per full absorption cost accounting, overhead related to our cost of sales is added, consisting primarily of warehouse rent and utilities. The costs can increase or decrease based on costs of product and assembly parts (purchased at market pricing), customer supply requirements, and the amount of labor required to assemble a product, along with the allocation of fixed overhead.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benefits, legal and professional fees, and sales and marketing costs. Other significant costs include research and development, software and information technology, insurance, and facility and 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costs on loans with interest rates ranging from 3.75% to 10.0% and amortization of convertible note costs. The amortized convertible note costs were $0 and $667,000 for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corporate federal and state income taxes. Deferred tax assets and liabilities are recognized for the future tax consequences attributable to differences between the financial statement carrying amounts of existing assets and liabilities and their respective tax basis. Deferred tax assets, including tax loss and credit carryforwards,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have adopted the provisions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related to accounting for uncertain tax positions, which require recognition of the impact of a tax position in the financial statements if the position is more likely than not to be sustained upon examination and on the technical merits of the position. We have concluded there were no material unrecognized tax benefits as of December 31, 2025 or December 31, 2024.</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practice is to recognize interest and/or penalties related to income tax matters as income tax expense. We had no accrual for interest or penalties on our balance sheet at December 31, 2025 or December 31, 2024, and did not recognize any interest or penalties in our statement of operations for the years ended December 31, 2025 or 2024, since there are no material unrecognized tax benefits. We do not expect any material change to the amount of unrecognized tax benefits to occur within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material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disclose financial measures calculated and presented in accordance with the generally accepted accounting principles in the United States (“GAAP”); however, we provide certain financial information on a non-GAAP basis (“non-GAAP financial measures”). We provide non-GAAP financial measures to provide information that may assist investors in understanding our results of operations and assessing our prospects for future performance, which consist of adjusted cost of sales. We believe evaluating certain financial and operating measures on an adjusted basis is important as it excludes costs that are not indicative of our core results of operations and are largely outside of our control. However, our non-GAAP financial measures are not intended to represent and should not be considered more meaningful measures than, or alternatives to, measures of financial or operating performance as determined in accordance with GAAP.</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our adjusted cost of sales non-GAAP financial measures for current period financial information by excluding the effect of an adjustment related to obsolete inventory. The information presented on an adjusted cost of sales basis, as we present such information, may not necessarily be comparable to similarly-titled information presented by other companies, and may not be appropriate measures for comparing our performance relative to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the Year Ended December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operational data as a percentage of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9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720" w:type="dxa"/>
            <w:vAlign w:val="bottom"/>
            <w:gridSpan w:val="2"/>
            <w:vMerge w:val="restart"/>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9,651,870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5,624,939</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8,314,472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4,469,711</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1,337,398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1,155,228</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12,040,903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7,909,219</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(10,703,505)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(6,753,991)</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expense -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6,727,032</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(6,235,037)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(13,481,023)</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(6,235,187)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(13,479,475)</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569"/>
        </w:trPr>
        <w:tc>
          <w:tcPr>
            <w:tcW w:w="4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year ended December 31, 2025 increased by $4.0 million, or 71.6%, compared to the year ended December 31, 2024. Sales were $9.7 million for the year ended December 31, 2025 and $5.6 million for the year ended December 31, 2024. The year-over-year increase reflects expansion of our customer base, increased sales to key customers, and broader adoption of our LiFePO4 battery platforms across distribution and OEM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for the year ended December 31, 2025 increased by $3.8 million, or 86.0%, compared to the year ended December 31, 2024. Cost of sales were $8.3 million for the year ended December 31, 2025 and $4.5 million for the year ended December 31, 2024. Cost of sales as a percentage of sales increased by 6.7 percentage points in 2025, to 86.1% compared to 79.5% in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for the year ended December 31, 2025 includes a one-time $0.9 million adjustment related to obsolete inventory. Excluding this adjustment, which management believes is not indicative of ongoing operating performance, cost of sales for the year ended December 31, 2025 would have increased by $2.9 million, or 65.8%, compared to the year ended December 31, 2024, and cost of sales as a percentage of sales would have decreased by 2.7 percentage points in 2025, to 76.8% compared to 79.5% in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improvement in pre-adjustment cost of sales reflects favorable product mix, including increased sales of higher-margin battery models, as well as a greater proportion of direct-to-consumer sales through our website, while the increase in adjusted cost of sales is primarily due to the adjustment for inventory identified as obsolete or overvalued.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gross profit for the year ended December 31, 2025 increased by $0.2 million, or 15.8%, compared to the year ended December 31, 2024. Gross profit was $1.3 million for the year ended December 31, 2025 and $1.2 million for the year ended December 31, 2024. Gross profit as a percentage of sales decreased by 6.7% for the year ended December 31, 2025, to 13.9% compared to 20.5% for the year ended December 31, 2024. For the year ended December 31, 2025, a significant increase in net sales was somewhat offset by an increase in cost of sales, which includes a one-time adjustment for obsolete inventory, resulting in a decrease in the gross profit margin. Gross profit for the year ended December 31, 2025 prior to the adjustment would have been $2.2 million, and as a percent of sales, would have increased by 2.7 percentage points, to 23.2%, primarily due to a more favorable product mix and an increase in direct-to-consume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2025 increased by $4.1 million, or 52.2%, compared to the year ended December 31, 2024. Selling, general, and administrative expenses were $12.0 million for the year ended December 31, 2025 and $7.9 million for the year ended December 31, 2024. The increase in selling, general, and administrative expenses was primarily due to increases in salaries and benefits, including executive severance and performance-related bonuses, increased stock-based compensation expense associated with the grant of options and RSUs to executives, directors, and non-executive employees, and increases in legal and professional fees. Selling, general, and administrative expenses as a percentage of net sales decreased to 124.8% in the year ended December 31, 2025 from 140.6% in the year ended December 31, 2024, reflecting a partial operating leverage resulting from higher revenue, despite increased personnel and professional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in the table below is the composition of selling,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6,417,659</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3,260,866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2,736,199</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1,584,589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1,001,730</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926,430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558,882</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295,292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fees, tech support</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290,023</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274,780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273,702</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263,930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Rents, maintenance, utilities</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233,843</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449,997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199,583</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137,298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105,616</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155,315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Office Supplies</w:t>
            </w: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24,144</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199,522</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536,846</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12,040,903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42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and expense for the year ended December 31, 2025 was income of $4.5 million and for the year ended December 31, 2024 was expense of $6.7 million. Other income for the year ended December 31, 2025 was mainly due to the reversal of the previously-recognized $4.5 million suspended liability expense associated with the Reverse Stock Split cash true-up provision contained in the Series A Warrants issued in the August 2024 offering. The reversal resulted from the repricing of the warrants in August 2025, as further described in “</w:t>
      </w:r>
      <w:r>
        <w:rPr>
          <w:rFonts w:ascii="Times New Roman" w:cs="Times New Roman" w:eastAsia="Times New Roman" w:hAnsi="Times New Roman"/>
          <w:sz w:val="18"/>
          <w:szCs w:val="18"/>
          <w:i w:val="1"/>
          <w:iCs w:val="1"/>
          <w:color w:val="auto"/>
        </w:rPr>
        <w:t>Note 7, Equity and Debt Financings—Convertible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Other income also included approximately $16,000 in interest income. These amounts were partially offset by $20,000 interest expense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$13,000 loss on sale of property and equipment. Other expense for the year ended December 31, 2024 was made up of $5.0 million in suspended liability expense associated with the Reverse Stock Split cash true-up payment provision in the Series A Warrants, as well as approximately $977,000 in interest expense and $709,000 in settlement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loss for the years ended December 31, 2025 and 2024 was $6.2 million and $13.5 million, respectively. The reduction in the net loss for the year ended December 31, 2025 reflects increased net sales, improved gross margins on inventory sold, notwithstanding the one-time adjustment for obsolete inventory, and the absence of the prior-year warrant-related expense, partially offset by higher selling, general, and administrative expenses. The net loss in the year ended December 31, 2024 was primarily the result of the $5.0 million in suspended liability expense due to the Reverse Stock Split cash true-up payment provision in the Series A Warrants we sold in the August 2024 Public Offering, as well as increased interest associated with the 3i Note (as defined in “</w:t>
      </w:r>
      <w:r>
        <w:rPr>
          <w:rFonts w:ascii="Times New Roman" w:cs="Times New Roman" w:eastAsia="Times New Roman" w:hAnsi="Times New Roman"/>
          <w:sz w:val="18"/>
          <w:szCs w:val="18"/>
          <w:i w:val="1"/>
          <w:iCs w:val="1"/>
          <w:color w:val="auto"/>
        </w:rPr>
        <w:t>Note 7, Equity and Debt Financings</w:t>
      </w:r>
      <w:r>
        <w:rPr>
          <w:rFonts w:ascii="Times New Roman" w:cs="Times New Roman" w:eastAsia="Times New Roman" w:hAnsi="Times New Roman"/>
          <w:sz w:val="18"/>
          <w:szCs w:val="18"/>
          <w:color w:val="auto"/>
        </w:rPr>
        <w:t>”) and increased settlement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through net proceeds from sales of equity securities and issuances of third-party debt and working capital loans. As of December 31, 2025 and 2024, our current assets exceeded current liabilities by $6.0 million and $2.0 million, respectively, and we had cash and cash equivalents of $3.0 million and $0.5 million,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generally consider our short-term liquidity requirements to consist of those items that are expected to be incurred within the next 12 months and believe those requirements to consist primarily of funds necessary to pay operating expenses, interest, and principal payments on our debt.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our short-term liquidity requirements included (a) principal debt payments totaling approximately $31,000, (b) lease obligation payments of approximately $337,000, including imputed interest, and (c) $0.6 million in accrued expenses, accounts payable, and other current liabilities.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consider our long-term liquidity requirements to consist of those items that are expected to be incurred beyond the next 12 months. Our activities are subject to significant risks and uncertainties, including failing to secure additional funding before we achieve sustainable revenue and profit from operations. We expect to continue to incur additional losses for the foreseeable future, and we may need to raise additional debt or equity financing to expand</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our presence in the marketplace, develop new products, achieve operating efficiencies, and accomplish our long-term business plans over the next several years. There can be no assurance as to the availability or terms upon which such financing and capital might be available to us. For the years ended December 31, 2025 and 2024, we sustained recurring losses and negative cash flows from operations. These factors raise substantial doubt about our ability to continue as a going concern within 12 months after the date the financial statements for the year ended December 31, 2025 are issued. However, management is working to address its cash flow challenges, including by raising additional capital, managing inventory levels, identifying alternative supply chain resources, and managing operational expenses. For additional information regarding risks associated with our ability to continue as a going concern, please see the risk factor titled “</w:t>
      </w:r>
      <w:r>
        <w:rPr>
          <w:rFonts w:ascii="Times New Roman" w:cs="Times New Roman" w:eastAsia="Times New Roman" w:hAnsi="Times New Roman"/>
          <w:sz w:val="18"/>
          <w:szCs w:val="18"/>
          <w:i w:val="1"/>
          <w:iCs w:val="1"/>
          <w:color w:val="auto"/>
        </w:rPr>
        <w:t>Our audited financial statements include a statement that there is a substantial doubt about our ability to 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a going concern and a continuation of negative financial trends could result in our inability to continue as a going concern</w:t>
      </w:r>
      <w:r>
        <w:rPr>
          <w:rFonts w:ascii="Times New Roman" w:cs="Times New Roman" w:eastAsia="Times New Roman" w:hAnsi="Times New Roman"/>
          <w:sz w:val="18"/>
          <w:szCs w:val="18"/>
          <w:color w:val="auto"/>
        </w:rPr>
        <w:t>”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our long-term debt totaled $197,000, comprised of $139,000 outstanding under a COVID-19 Economic Injury Disaster Loan and $58,000 outstanding under vehicle financing arrangements. In August 2025, we repaid an equipment loan with an interest rate of 5.8%. In January 2024, we repaid $62,500 in principal on a stockholder promissory note with an interest rate of 10.0%, and in August 2024, we repaid two shareholder loans with principal of $500,000 and $200,000, respectively, both with interest rates of 10.0%. In February and March 2024, we sold three vehicles including repayment of the related vehicle loans with interest rates of 5.5%-5.9% in the total amount of approximately $88,000, which included principal and interest. In August 2024, we repaid a short-term convertible note for a total of $2.7 million including principal, interest, and fees. This represents reduction of debt by $3.0 million and additional reduction in lease liability of $2.3 million in 2024 and 2025, an overall improvement to our liquidity over the past two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Financing Arrangements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has three notes payable to GM Financial for vehicles. In April 2022, the Company secured a commercial line of up to $300,000 to be used to finance vehicle purchases, which was increased to $350,000 in April 2023, renewed in April 2024 and April 2025 for the same amount, and expires in April 2026, which we plan to renew again for the same amount. The notes are payable in aggregate monthly installments of approximately $2,560, including interest at rates ranging from 6.1% to 7.3% per annum, mature at various dates from October 2027 to May 2028, and are secured by the related vehicles. See “</w:t>
      </w:r>
      <w:r>
        <w:rPr>
          <w:rFonts w:ascii="Times New Roman" w:cs="Times New Roman" w:eastAsia="Times New Roman" w:hAnsi="Times New Roman"/>
          <w:sz w:val="18"/>
          <w:szCs w:val="18"/>
          <w:i w:val="1"/>
          <w:iCs w:val="1"/>
          <w:color w:val="auto"/>
        </w:rPr>
        <w:t>Note 5, Long-Term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total operating lease liabilities. As of December 31, 2025, we had $710,000 in total operating lease liabilities, including the current portion.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long-term debt totaled $197,000, including the current portion, which consists of $31,000.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9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(6,149,263)</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(9,562,545)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4,250</w:t>
            </w:r>
          </w:p>
        </w:tc>
        <w:tc>
          <w:tcPr>
            <w:tcW w:w="14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113,408</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8,566,544</w:t>
            </w:r>
          </w:p>
        </w:tc>
        <w:tc>
          <w:tcPr>
            <w:tcW w:w="14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6,064,004</w:t>
            </w:r>
          </w:p>
        </w:tc>
      </w:tr>
      <w:tr>
        <w:trPr>
          <w:trHeight w:val="560"/>
        </w:trPr>
        <w:tc>
          <w:tcPr>
            <w:tcW w:w="4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collected from sales of our products. Our primary uses of cash for operating activities include purchases of inventory, as well as selling, general, and administrative expenses including salaries and benefits, legal and professional fees, and sales and marketing expenses. In the last several years, we have generated negative cash flows from operating activities and have supplemented working capital requirements through net proceeds from sales of our common stock.</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generated negative cash flows from operating activities of $6.1 million for the year ended December 31, 2025, compared to negative cash flows of $9.6 million for the corresponding period in 2024. The decrease in cash used in operating activities was primarily attributable to lower net losses and favorable changes in working capital during 2025. Factors affecting operating cash flows during the periods included:</w:t>
      </w:r>
    </w:p>
    <w:p>
      <w:pPr>
        <w:spacing w:after="0" w:line="199" w:lineRule="exact"/>
        <w:rPr>
          <w:sz w:val="20"/>
          <w:szCs w:val="20"/>
          <w:color w:val="auto"/>
        </w:rPr>
      </w:pPr>
    </w:p>
    <w:p>
      <w:pPr>
        <w:jc w:val="both"/>
        <w:ind w:left="340" w:hanging="332"/>
        <w:spacing w:after="0" w:line="221" w:lineRule="auto"/>
        <w:tabs>
          <w:tab w:leader="none" w:pos="340" w:val="left"/>
        </w:tabs>
        <w:numPr>
          <w:ilvl w:val="0"/>
          <w:numId w:val="14"/>
        </w:numPr>
        <w:rPr>
          <w:rFonts w:ascii="Times New Roman" w:cs="Times New Roman" w:eastAsia="Times New Roman" w:hAnsi="Times New Roman"/>
          <w:sz w:val="36"/>
          <w:szCs w:val="36"/>
          <w:i w:val="1"/>
          <w:iCs w:val="1"/>
          <w:color w:val="auto"/>
          <w:vertAlign w:val="subscript"/>
        </w:rPr>
      </w:pPr>
      <w:r>
        <w:rPr>
          <w:rFonts w:ascii="Times New Roman" w:cs="Times New Roman" w:eastAsia="Times New Roman" w:hAnsi="Times New Roman"/>
          <w:sz w:val="18"/>
          <w:szCs w:val="18"/>
          <w:color w:val="auto"/>
        </w:rPr>
        <w:t>For the year ended December 31, 2025, our net loss of $6.2 million adjusted for several non-cash items, including stock-based compensation of $1.2 million, issuance of common stock in exchange for services of $490,000, depreciation of $117,000, non-cash expense related to asset disposals of $21,000, and loss on sale of property and equipment of $13,000. These adjustments also reflect the impact of a decrease in the suspended liability associated with the cash true-up payments related to the Reverse Stock Split provision in the Series A Warrants. For the year ended December 31, 2024, our net loss of $13.5 million included several non-cash items, including approximately $5.0 million in suspended liability expense due to the Reverse Stock Split cash true-up payment provision in the Series A Warrants we sold in the August 2024 Public Offering, amortization of convertible note costs of approximately $667,000, stock-based compensation of $617,000, stock-based settlement of $209,000, and depreciation of $174,000.</w:t>
      </w:r>
    </w:p>
    <w:p>
      <w:pPr>
        <w:spacing w:after="0" w:line="203" w:lineRule="exact"/>
        <w:rPr>
          <w:rFonts w:ascii="Times New Roman" w:cs="Times New Roman" w:eastAsia="Times New Roman" w:hAnsi="Times New Roman"/>
          <w:sz w:val="36"/>
          <w:szCs w:val="36"/>
          <w:i w:val="1"/>
          <w:iCs w:val="1"/>
          <w:color w:val="auto"/>
          <w:vertAlign w:val="subscript"/>
        </w:rPr>
      </w:pPr>
    </w:p>
    <w:p>
      <w:pPr>
        <w:jc w:val="both"/>
        <w:ind w:left="340" w:hanging="332"/>
        <w:spacing w:after="0" w:line="212" w:lineRule="auto"/>
        <w:tabs>
          <w:tab w:leader="none" w:pos="340" w:val="left"/>
        </w:tabs>
        <w:numPr>
          <w:ilvl w:val="0"/>
          <w:numId w:val="14"/>
        </w:numPr>
        <w:rPr>
          <w:rFonts w:ascii="Times New Roman" w:cs="Times New Roman" w:eastAsia="Times New Roman" w:hAnsi="Times New Roman"/>
          <w:sz w:val="36"/>
          <w:szCs w:val="36"/>
          <w:i w:val="1"/>
          <w:iCs w:val="1"/>
          <w:color w:val="auto"/>
          <w:vertAlign w:val="subscript"/>
        </w:rPr>
      </w:pPr>
      <w:r>
        <w:rPr>
          <w:rFonts w:ascii="Times New Roman" w:cs="Times New Roman" w:eastAsia="Times New Roman" w:hAnsi="Times New Roman"/>
          <w:sz w:val="18"/>
          <w:szCs w:val="18"/>
          <w:color w:val="auto"/>
        </w:rPr>
        <w:t>Cash provided by a decrease in inventory for the year ended December 31, 2025 was $2.0 million, and cash used by an increase in inventory for the year ended December 31, 2024 was $1.0 million, while cash provided by a decrease in prepaid inventory for the year ended December 31, 2025 was $1.3 million, and cash used by an increase in prepaid inventory for the year ended December 31, 2024 was $1.4 million. These changes primarily reflect the timing of significant inventory purchases and advance payments to suppliers. Turnaround time for receiving inventory from foreign sources can take up to 120 days, with prepayments required.</w:t>
      </w:r>
    </w:p>
    <w:p>
      <w:pPr>
        <w:spacing w:after="0" w:line="198" w:lineRule="exact"/>
        <w:rPr>
          <w:rFonts w:ascii="Times New Roman" w:cs="Times New Roman" w:eastAsia="Times New Roman" w:hAnsi="Times New Roman"/>
          <w:sz w:val="36"/>
          <w:szCs w:val="36"/>
          <w:i w:val="1"/>
          <w:iCs w:val="1"/>
          <w:color w:val="auto"/>
          <w:vertAlign w:val="subscript"/>
        </w:rPr>
      </w:pPr>
    </w:p>
    <w:p>
      <w:pPr>
        <w:ind w:left="340" w:right="20" w:hanging="332"/>
        <w:spacing w:after="0" w:line="184" w:lineRule="auto"/>
        <w:tabs>
          <w:tab w:leader="none" w:pos="340" w:val="left"/>
        </w:tabs>
        <w:numPr>
          <w:ilvl w:val="0"/>
          <w:numId w:val="14"/>
        </w:numPr>
        <w:rPr>
          <w:rFonts w:ascii="Times New Roman" w:cs="Times New Roman" w:eastAsia="Times New Roman" w:hAnsi="Times New Roman"/>
          <w:sz w:val="34"/>
          <w:szCs w:val="34"/>
          <w:i w:val="1"/>
          <w:iCs w:val="1"/>
          <w:color w:val="auto"/>
          <w:vertAlign w:val="subscript"/>
        </w:rPr>
      </w:pPr>
      <w:r>
        <w:rPr>
          <w:rFonts w:ascii="Times New Roman" w:cs="Times New Roman" w:eastAsia="Times New Roman" w:hAnsi="Times New Roman"/>
          <w:sz w:val="17"/>
          <w:szCs w:val="17"/>
          <w:color w:val="auto"/>
        </w:rPr>
        <w:t>Cash provided by / (used in) other operating activities such as changes in accounts receivable and accounts payable primarily reflect normal timing differences in customer collections and vendor payments and were not significant drivers of operating cash flows during the periods presented.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investing activities was $4,000 for the year ended December 31, 2025 and was related to selling some small vehicles.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for capital purchases of property and equipment for quality assurance and leasehold improvements to our testing lab totaled $19,000 during the year ended December 31, 2024. This was offset by net proceeds of $133,000 received for the sale and disposal of property and equipment during the year ended December 31, 2024, which included property and equipment and leasehold improvements related to the warehouse lease terminated in September 2024, as well as the sale of three vehicles.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$8.6 million for the year ended December 31, 2025. During that year, we had net proceeds from exercise of warrants totaling $5.7 million, net proceeds from the issuance of common stock totaling $2.9 million, offset by principal payments on long-term debt totaling $33,000.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$6.1 million for the year ended December 31, 2024. For the year ended December 31, 2024, we paid down debt principal of $3.6 million, which was offset by net cash proceeds of $9.5 million from issuance of common stock and $185,000 net cash proceeds from exercise of warrants.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is based upon our financial statements. The preparation of financial statements in conformity with GAAP requires management to make estimates and judgments that affect the reported amounts of assets, liabilities, revenue and expenses, and disclosures of contingent assets and liabilities. These estimates involve judgments that are inherently uncertain and subject to change as future events and conditions evolve.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financial statements prospectively from the date of the change in the estimate.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critical accounting estimate is one that involves a significant degree of judgment or complexity and where a different assumption could reasonably have a material impact on our financial condition or results of operations. The critical accounting estimates below are those that we consider to be the most important in portraying our financial condition and results of operations and also require the greatest number of judgments by management.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is determined using first-in, first-out method. Net realizable value represents the estimated selling price in the ordinary course of business less reasonably predictable costs of sales.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products have long shelf lives when stored properly, inventory may become obsolete due to technological changes, product redesigns, or shifts in consumer demand. Management regularly evaluates inventory quantities on hand relative to forecasted demand, product life cycles, and market conditions, and records adjustments to the valuation of inventory using the allowance method when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 right-of-use (“ROU”) assets represent our right to use an underlying asset during the lease term, and operating lease liabilities represent our obligation to make lease payments arising from the lease. Operating leases are included in ROU assets, current operating lease liabilities, and long-term operating lease liabilities on our balance sheets. We do not have any finance leases.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lease liabilities in the balance sheet on the lease commencement date, based on the present value of the outstanding lease payments over the reasonably certain lease term. The lease term includes the non-cancelable period at the lease commencement date, plus any additional periods covered by an option to extend (or not to terminate) the lease that is reasonably certain to be exercised, or an option to extend (or not to terminate) a lease that is controlled by the lessor.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discount unpaid lease payments using the interest rate implicit in the lease or, if the rate cannot be readily determined, our incremental borrowing rate.</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8, Commitments and Contingencies,”</w:t>
      </w:r>
      <w:r>
        <w:rPr>
          <w:rFonts w:ascii="Times New Roman" w:cs="Times New Roman" w:eastAsia="Times New Roman" w:hAnsi="Times New Roman"/>
          <w:sz w:val="18"/>
          <w:szCs w:val="18"/>
          <w:color w:val="auto"/>
        </w:rPr>
        <w:t xml:space="preserve"> to our financial statements within this Annual Report for additional information, including more details of our accounting policy elections and disclosures and remaining minimum operating lease commitments.</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depreciation calculated on the straight-line basis over the estimated useful lives of the related assets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 equipment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equipment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QA equipment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Tooling and molds</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their estimated useful lives.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Useful life is estimated for each item at the time of purchase based on the typical useful life in our experience and best judgment, and remaining useful life of existing assets is evaluated regularly. If an estimated useful life were to be inaccurate, there would not be a material effect on our financials, and the estimated depreciation would be trued up at the time of disposal or impairment. It is our experience that the estimated useful lives of our assets are generally materially accurate.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Warrants are measured at fair value upon issuance and are not subsequently remeasured unless they are required to be reclassified. See “</w:t>
      </w:r>
      <w:r>
        <w:rPr>
          <w:rFonts w:ascii="Times New Roman" w:cs="Times New Roman" w:eastAsia="Times New Roman" w:hAnsi="Times New Roman"/>
          <w:sz w:val="18"/>
          <w:szCs w:val="18"/>
          <w:i w:val="1"/>
          <w:iCs w:val="1"/>
          <w:color w:val="auto"/>
        </w:rPr>
        <w:t>Note 7, Equity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Financings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9, Stockholders’ Equity” </w:t>
      </w:r>
      <w:r>
        <w:rPr>
          <w:rFonts w:ascii="Times New Roman" w:cs="Times New Roman" w:eastAsia="Times New Roman" w:hAnsi="Times New Roman"/>
          <w:sz w:val="18"/>
          <w:szCs w:val="18"/>
          <w:color w:val="auto"/>
        </w:rPr>
        <w:t>in our accompanying financial statements for information on the warrants. Changes in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estimate fair value could occur from stock pricing volatility depending on our performance and our position in the industry and changes in market interest rates which can result in materially different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Black-Scholes option-pricing model to determine the fair value of option grants. In estimating fair value, management is required to make certain assumptions and estimates such as the expected life of options, volatility of our stock price, risk-free interest rates, future dividend yields and estimated forfeitures at the initial grant date. Restricted stock unit awards are valued based on the closing trading price of our common stock on the date of grant. Changes to these assumptions or estimates could result in significant changes in the valuations.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November 1, 2021, the Company converted from an LLC to a C corporation and, as a result, became subject to corporate federal and state income taxes. Income taxes are accounted for using the asset and liability method.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that will be in effect for the years in which those tax assets and liabilities are expected to be realized or settled. We record a valuation allowance to reduce deferred tax assets to the amount that is believed more likely than not to be realized. We believe it is more likely than not that forecasted income, together with future reversals of existing taxable temporary differences, will be sufficient to recover our deferred tax assets. In the event that we determine all, or part of our net deferred tax assets are not realizable in the future, we will record an adjustment to the valuation allowance and a corresponding charge to earnings in the period such determination is made.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calculation of tax liabilities involves significant judgment in estimating the impact of uncertainties in the application of GAAP and complex tax laws. Resolution of these uncertainties in a manner inconsistent with our expectations could have a material impact on our financial condition and results of operations. We recognize tax benefits from uncertain tax positions only if it is more likely than not that the tax position will be sustained on examination by the taxing authorities, based on the technical merits of the position. The tax benefits recorded in the financial statements from such positions are then measured based on the largest benefit that has a greater than 50% likelihood of being realized upon ultimate settlement.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Income Taxes”</w:t>
      </w:r>
      <w:r>
        <w:rPr>
          <w:rFonts w:ascii="Times New Roman" w:cs="Times New Roman" w:eastAsia="Times New Roman" w:hAnsi="Times New Roman"/>
          <w:sz w:val="18"/>
          <w:szCs w:val="18"/>
          <w:color w:val="auto"/>
        </w:rPr>
        <w:t xml:space="preserve"> to our financial statements within this Annual Report for further information on our 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Item 305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8 is found in a separate section of this Annual Report starting on page F-1. See the “Index to Financial Statements” on page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disclosure controls and procedures, as defined in Rule 13a-15(e) under the Exchange Act, for our Company. Consequently, our management, with the participation of our principal executive officer and principal financial officer, evaluated the effectiveness of our disclosure controls and procedures pursuant to Rule 13a-15(b) under the Exchange Act as of December 31, 2025.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Based on that evaluation, our principal executive officer and principal financial officer concluded that our disclosure controls and procedures are designed at a reasonable assurance level as of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as defined in Rule 13a-15(f) under the Exchange Act, means a process designed to provide reasonable assurance regarding the reliability of financial reporting and the preparation of financial statements for external purposes in accordance with GAAP. Our management, with the participation and supervision of our principal executive officer and our principal financial and accounting officer, assessed the effectiveness of our internal control over financial reporting.</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making this assessment, our management used the criteria set forth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as issued by the Committee of Sponsoring Organizations of the Treadway Commission. Based on this assessment, our management concluded that our internal control over financial reporting was effective as of December 31, 2025.</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due to an exemption established by SEC rules for emerging growth companies.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there were no changes in our internal control over financial reporting that materially affected, or are reasonably likely to materially affect, our internal control over financial reporting (as defined in Exchange Act Rules 13a-15(f) and 15d-15(f) under the Securities Exchange Act of 1934).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and not absolute assurance of achieving the desired control objectives. In assessing whether our disclosure controls and procedures were effective at a reasonable level of assurance, management necessarily was required to apply its judgment in evaluating the cost-benefit relationship of possible controls and procedures. There are inherent limitations to the effectiveness of any system of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and officers may enter into trading plans or other arrangements with financial institutions to purchase or sell shares of our common stock, which plans or arrangements are intended to comply with the affirmative defense provisions of Rule 10b5-1 of the Exchange Act or which may represent a non-Rule 10b5-1 trading arrangement, as defined under Item 408(a) of Regulation S-K.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adopted, terminated or modified a Rule 10b5-1 trading arrangement or a non-Rule 10b5-1 trading arrangement.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9C. DISCLOSURE REGARDING FOREIGN JURISDICTIONS THAT PREVENT INSPECTION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or the Code of Business Conduct and Ethics, which applies to our directors, officers and employees, including our principal executive officer, principal financial officer, principal accounting officer or controller, and persons performing similar functions. Our Code of Business Conduct and Ethics is available on our website at </w:t>
      </w:r>
      <w:r>
        <w:rPr>
          <w:rFonts w:ascii="Times New Roman" w:cs="Times New Roman" w:eastAsia="Times New Roman" w:hAnsi="Times New Roman"/>
          <w:sz w:val="18"/>
          <w:szCs w:val="18"/>
          <w:i w:val="1"/>
          <w:iCs w:val="1"/>
          <w:u w:val="single" w:color="auto"/>
          <w:color w:val="auto"/>
        </w:rPr>
        <w:t>www.investors.expion360.com</w:t>
      </w:r>
      <w:r>
        <w:rPr>
          <w:rFonts w:ascii="Times New Roman" w:cs="Times New Roman" w:eastAsia="Times New Roman" w:hAnsi="Times New Roman"/>
          <w:sz w:val="18"/>
          <w:szCs w:val="18"/>
          <w:color w:val="auto"/>
        </w:rPr>
        <w:t xml:space="preserve"> in the “Corporate Governance” section of the “Investor Relations” page. In addition, we intend to post on our website all disclosures that are required by law concerning any amendments to, or waivers from, any provision of our Code of Business Conduct and Ethics. The inclusion of our website address in this Annual Report does not include or incorporate by reference the information on the website into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that are reasonably designed to promote compliance with insider trading laws, rules and regulations. The Insider Trading Policy is filed as an exhibit to this Annual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for our 2026 annual meeting of stockholders (the “2026 Proxy Statement"), to be filed with the SEC no later than 120 days after December 31, 2025,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3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are listed in the “Index to the Financial Statements,” which appears on page F-1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called for is not required or is shown either in the financial statements or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74"/>
        </w:trPr>
        <w:tc>
          <w:tcPr>
            <w:tcW w:w="1040" w:type="dxa"/>
            <w:vAlign w:val="bottom"/>
            <w:gridSpan w:val="5"/>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3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8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0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580" w:type="dxa"/>
            <w:vAlign w:val="bottom"/>
            <w:tcBorders>
              <w:top w:val="single" w:sz="8" w:color="auto"/>
            </w:tcBorders>
            <w:gridSpan w:val="3"/>
          </w:tcPr>
          <w:p>
            <w:pPr>
              <w:jc w:val="center"/>
              <w:ind w:left="250"/>
              <w:spacing w:after="0" w:line="169"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320" w:type="dxa"/>
            <w:vAlign w:val="bottom"/>
            <w:tcBorders>
              <w:top w:val="single" w:sz="8" w:color="auto"/>
            </w:tcBorders>
            <w:gridSpan w:val="22"/>
          </w:tcPr>
          <w:p>
            <w:pPr>
              <w:spacing w:after="0" w:line="16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Articles of Incorporation of the Company, effective as of November 4, 2021</w:t>
              </w:r>
            </w:hyperlink>
          </w:p>
        </w:tc>
        <w:tc>
          <w:tcPr>
            <w:tcW w:w="3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6"/>
          </w:tcPr>
          <w:p>
            <w:pPr>
              <w:jc w:val="center"/>
              <w:ind w:right="320"/>
              <w:spacing w:after="0" w:line="169" w:lineRule="exact"/>
              <w:rPr>
                <w:rFonts w:ascii="Times New Roman" w:cs="Times New Roman" w:eastAsia="Times New Roman" w:hAnsi="Times New Roman"/>
                <w:sz w:val="18"/>
                <w:szCs w:val="18"/>
                <w:color w:val="0000EE"/>
                <w:w w:val="95"/>
              </w:rPr>
            </w:pPr>
            <w:hyperlink r:id="rId64">
              <w:r>
                <w:rPr>
                  <w:rFonts w:ascii="Times New Roman" w:cs="Times New Roman" w:eastAsia="Times New Roman" w:hAnsi="Times New Roman"/>
                  <w:sz w:val="18"/>
                  <w:szCs w:val="18"/>
                  <w:color w:val="0000EE"/>
                  <w:w w:val="95"/>
                </w:rPr>
                <w:t>S-1</w:t>
              </w:r>
            </w:hyperlink>
          </w:p>
        </w:tc>
        <w:tc>
          <w:tcPr>
            <w:tcW w:w="100" w:type="dxa"/>
            <w:vAlign w:val="bottom"/>
          </w:tcPr>
          <w:p>
            <w:pPr>
              <w:spacing w:after="0"/>
              <w:rPr>
                <w:sz w:val="14"/>
                <w:szCs w:val="14"/>
                <w:color w:val="auto"/>
              </w:rPr>
            </w:pPr>
          </w:p>
        </w:tc>
        <w:tc>
          <w:tcPr>
            <w:tcW w:w="560" w:type="dxa"/>
            <w:vAlign w:val="bottom"/>
            <w:tcBorders>
              <w:top w:val="single" w:sz="8" w:color="auto"/>
            </w:tcBorders>
            <w:gridSpan w:val="7"/>
          </w:tcPr>
          <w:p>
            <w:pPr>
              <w:jc w:val="center"/>
              <w:ind w:left="150"/>
              <w:spacing w:after="0" w:line="169"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gridSpan w:val="7"/>
          </w:tcPr>
          <w:p>
            <w:pPr>
              <w:jc w:val="center"/>
              <w:ind w:left="10"/>
              <w:spacing w:after="0" w:line="169"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3/31/2022</w:t>
              </w:r>
            </w:hyperlink>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2"/>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20" w:type="dxa"/>
            <w:vAlign w:val="bottom"/>
            <w:gridSpan w:val="22"/>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Certificate of Amendment of Articles of Incorporation, effective as of October 8, 2024</w:t>
              </w:r>
            </w:hyperlink>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65">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10/7/2024</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2"/>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60" w:type="dxa"/>
            <w:vAlign w:val="bottom"/>
            <w:gridSpan w:val="14"/>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Amended and Restated Bylaws of the Company, dated August 21, 2024</w:t>
              </w:r>
            </w:hyperlink>
          </w:p>
        </w:tc>
        <w:tc>
          <w:tcPr>
            <w:tcW w:w="1060" w:type="dxa"/>
            <w:vAlign w:val="bottom"/>
            <w:gridSpan w:val="5"/>
          </w:tcPr>
          <w:p>
            <w:pPr>
              <w:spacing w:after="0"/>
              <w:rPr>
                <w:sz w:val="17"/>
                <w:szCs w:val="17"/>
                <w:color w:val="auto"/>
              </w:rPr>
            </w:pPr>
          </w:p>
        </w:tc>
        <w:tc>
          <w:tcPr>
            <w:tcW w:w="11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66">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8/27/2024</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2"/>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60" w:type="dxa"/>
            <w:vAlign w:val="bottom"/>
            <w:gridSpan w:val="14"/>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the Company’s Common Stock Certificate</w:t>
              </w:r>
            </w:hyperlink>
          </w:p>
        </w:tc>
        <w:tc>
          <w:tcPr>
            <w:tcW w:w="216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5"/>
          </w:tcPr>
          <w:p>
            <w:pPr>
              <w:jc w:val="center"/>
              <w:ind w:right="60"/>
              <w:spacing w:after="0" w:line="196" w:lineRule="exact"/>
              <w:rPr>
                <w:rFonts w:ascii="Times New Roman" w:cs="Times New Roman" w:eastAsia="Times New Roman" w:hAnsi="Times New Roman"/>
                <w:sz w:val="18"/>
                <w:szCs w:val="18"/>
                <w:color w:val="0000EE"/>
                <w:w w:val="95"/>
              </w:rPr>
            </w:pPr>
            <w:hyperlink r:id="rId67">
              <w:r>
                <w:rPr>
                  <w:rFonts w:ascii="Times New Roman" w:cs="Times New Roman" w:eastAsia="Times New Roman" w:hAnsi="Times New Roman"/>
                  <w:sz w:val="18"/>
                  <w:szCs w:val="18"/>
                  <w:color w:val="0000EE"/>
                  <w:w w:val="95"/>
                </w:rPr>
                <w:t>S-1</w:t>
              </w:r>
            </w:hyperlink>
          </w:p>
        </w:tc>
        <w:tc>
          <w:tcPr>
            <w:tcW w:w="360" w:type="dxa"/>
            <w:vAlign w:val="bottom"/>
            <w:gridSpan w:val="2"/>
          </w:tcPr>
          <w:p>
            <w:pPr>
              <w:spacing w:after="0"/>
              <w:rPr>
                <w:sz w:val="17"/>
                <w:szCs w:val="17"/>
                <w:color w:val="auto"/>
              </w:rPr>
            </w:pPr>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3/31/2022</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2"/>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9"/>
          </w:tcPr>
          <w:p>
            <w:pPr>
              <w:spacing w:after="0" w:line="196" w:lineRule="exact"/>
              <w:rPr>
                <w:rFonts w:ascii="Times New Roman" w:cs="Times New Roman" w:eastAsia="Times New Roman" w:hAnsi="Times New Roman"/>
                <w:sz w:val="18"/>
                <w:szCs w:val="18"/>
                <w:color w:val="0000FF"/>
                <w:w w:val="98"/>
              </w:rPr>
            </w:pPr>
            <w:hyperlink r:id="rId68">
              <w:r>
                <w:rPr>
                  <w:rFonts w:ascii="Times New Roman" w:cs="Times New Roman" w:eastAsia="Times New Roman" w:hAnsi="Times New Roman"/>
                  <w:sz w:val="18"/>
                  <w:szCs w:val="18"/>
                  <w:color w:val="0000FF"/>
                  <w:w w:val="98"/>
                </w:rPr>
                <w:t>Form of Representative’s Warrant Agreement</w:t>
              </w:r>
            </w:hyperlink>
          </w:p>
        </w:tc>
        <w:tc>
          <w:tcPr>
            <w:tcW w:w="400" w:type="dxa"/>
            <w:vAlign w:val="bottom"/>
          </w:tcPr>
          <w:p>
            <w:pPr>
              <w:spacing w:after="0"/>
              <w:rPr>
                <w:sz w:val="17"/>
                <w:szCs w:val="17"/>
                <w:color w:val="auto"/>
              </w:rPr>
            </w:pPr>
          </w:p>
        </w:tc>
        <w:tc>
          <w:tcPr>
            <w:tcW w:w="3640" w:type="dxa"/>
            <w:vAlign w:val="bottom"/>
            <w:gridSpan w:val="12"/>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7"/>
          </w:tcPr>
          <w:p>
            <w:pPr>
              <w:jc w:val="center"/>
              <w:ind w:right="420"/>
              <w:spacing w:after="0" w:line="196" w:lineRule="exact"/>
              <w:rPr>
                <w:rFonts w:ascii="Times New Roman" w:cs="Times New Roman" w:eastAsia="Times New Roman" w:hAnsi="Times New Roman"/>
                <w:sz w:val="18"/>
                <w:szCs w:val="18"/>
                <w:color w:val="0000EE"/>
                <w:w w:val="95"/>
              </w:rPr>
            </w:pPr>
            <w:hyperlink r:id="rId68">
              <w:r>
                <w:rPr>
                  <w:rFonts w:ascii="Times New Roman" w:cs="Times New Roman" w:eastAsia="Times New Roman" w:hAnsi="Times New Roman"/>
                  <w:sz w:val="18"/>
                  <w:szCs w:val="18"/>
                  <w:color w:val="0000EE"/>
                  <w:w w:val="95"/>
                </w:rPr>
                <w:t>S-1</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3/31/2022</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gridSpan w:val="2"/>
          </w:tcPr>
          <w:p>
            <w:pPr>
              <w:spacing w:after="0"/>
              <w:rPr>
                <w:sz w:val="18"/>
                <w:szCs w:val="18"/>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20" w:type="dxa"/>
            <w:vAlign w:val="bottom"/>
            <w:gridSpan w:val="15"/>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Form of Senior Secured Promissory Note issued to bridge loan investors</w:t>
              </w:r>
            </w:hyperlink>
          </w:p>
        </w:tc>
        <w:tc>
          <w:tcPr>
            <w:tcW w:w="210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7"/>
          </w:tcPr>
          <w:p>
            <w:pPr>
              <w:jc w:val="center"/>
              <w:ind w:right="420"/>
              <w:spacing w:after="0" w:line="196" w:lineRule="exact"/>
              <w:rPr>
                <w:rFonts w:ascii="Times New Roman" w:cs="Times New Roman" w:eastAsia="Times New Roman" w:hAnsi="Times New Roman"/>
                <w:sz w:val="18"/>
                <w:szCs w:val="18"/>
                <w:color w:val="0000EE"/>
                <w:w w:val="95"/>
              </w:rPr>
            </w:pPr>
            <w:hyperlink r:id="rId69">
              <w:r>
                <w:rPr>
                  <w:rFonts w:ascii="Times New Roman" w:cs="Times New Roman" w:eastAsia="Times New Roman" w:hAnsi="Times New Roman"/>
                  <w:sz w:val="18"/>
                  <w:szCs w:val="18"/>
                  <w:color w:val="0000EE"/>
                  <w:w w:val="95"/>
                </w:rPr>
                <w:t>S-1</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3/31/2022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bottom w:val="single" w:sz="8" w:color="0000EE"/>
            </w:tcBorders>
          </w:tcPr>
          <w:p>
            <w:pPr>
              <w:jc w:val="cente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20" w:type="dxa"/>
            <w:vAlign w:val="bottom"/>
            <w:tcBorders>
              <w:top w:val="single" w:sz="8" w:color="0000FF"/>
              <w:bottom w:val="single" w:sz="8" w:color="0000FF"/>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100" w:type="dxa"/>
            <w:vAlign w:val="bottom"/>
            <w:gridSpan w:val="7"/>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top w:val="single" w:sz="8" w:color="0000EE"/>
              <w:bottom w:val="single" w:sz="8" w:color="0000EE"/>
            </w:tcBorders>
            <w:gridSpan w:val="3"/>
          </w:tcPr>
          <w:p>
            <w:pPr>
              <w:jc w:val="center"/>
              <w:spacing w:after="0" w:line="176" w:lineRule="exact"/>
              <w:rPr>
                <w:rFonts w:ascii="Times New Roman" w:cs="Times New Roman" w:eastAsia="Times New Roman" w:hAnsi="Times New Roman"/>
                <w:sz w:val="19"/>
                <w:szCs w:val="19"/>
                <w:color w:val="0000EE"/>
              </w:rPr>
            </w:pPr>
            <w:hyperlink r:id="rId70">
              <w:r>
                <w:rPr>
                  <w:rFonts w:ascii="Times New Roman" w:cs="Times New Roman" w:eastAsia="Times New Roman" w:hAnsi="Times New Roman"/>
                  <w:sz w:val="19"/>
                  <w:szCs w:val="19"/>
                  <w:color w:val="0000EE"/>
                </w:rPr>
                <w:t>-</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0000EE"/>
              <w:bottom w:val="single" w:sz="8" w:color="0000EE"/>
            </w:tcBorders>
            <w:gridSpan w:val="3"/>
          </w:tcPr>
          <w:p>
            <w:pPr>
              <w:jc w:val="center"/>
              <w:spacing w:after="0" w:line="176" w:lineRule="exact"/>
              <w:rPr>
                <w:rFonts w:ascii="Times New Roman" w:cs="Times New Roman" w:eastAsia="Times New Roman" w:hAnsi="Times New Roman"/>
                <w:sz w:val="19"/>
                <w:szCs w:val="19"/>
                <w:color w:val="0000EE"/>
              </w:rPr>
            </w:pPr>
            <w:hyperlink r:id="rId70">
              <w:r>
                <w:rPr>
                  <w:rFonts w:ascii="Times New Roman" w:cs="Times New Roman" w:eastAsia="Times New Roman" w:hAnsi="Times New Roman"/>
                  <w:sz w:val="19"/>
                  <w:szCs w:val="19"/>
                  <w:color w:val="0000EE"/>
                </w:rPr>
                <w:t>-</w:t>
              </w:r>
            </w:hyperlink>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0000EE"/>
              <w:bottom w:val="single" w:sz="8" w:color="0000EE"/>
            </w:tcBorders>
            <w:gridSpan w:val="3"/>
          </w:tcPr>
          <w:p>
            <w:pPr>
              <w:jc w:val="center"/>
              <w:spacing w:after="0" w:line="176" w:lineRule="exact"/>
              <w:rPr>
                <w:rFonts w:ascii="Times New Roman" w:cs="Times New Roman" w:eastAsia="Times New Roman" w:hAnsi="Times New Roman"/>
                <w:sz w:val="19"/>
                <w:szCs w:val="19"/>
                <w:color w:val="0000EE"/>
              </w:rPr>
            </w:pPr>
            <w:hyperlink r:id="rId70">
              <w:r>
                <w:rPr>
                  <w:rFonts w:ascii="Times New Roman" w:cs="Times New Roman" w:eastAsia="Times New Roman" w:hAnsi="Times New Roman"/>
                  <w:sz w:val="19"/>
                  <w:szCs w:val="19"/>
                  <w:color w:val="0000EE"/>
                </w:rPr>
                <w:t>-</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0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gridSpan w:val="2"/>
          </w:tcPr>
          <w:p>
            <w:pPr>
              <w:spacing w:after="0"/>
              <w:rPr>
                <w:sz w:val="15"/>
                <w:szCs w:val="15"/>
                <w:color w:val="auto"/>
              </w:rPr>
            </w:pPr>
          </w:p>
        </w:tc>
        <w:tc>
          <w:tcPr>
            <w:tcW w:w="240" w:type="dxa"/>
            <w:vAlign w:val="bottom"/>
          </w:tcPr>
          <w:p>
            <w:pPr>
              <w:jc w:val="center"/>
              <w:spacing w:after="0" w:line="183"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20" w:type="dxa"/>
            <w:vAlign w:val="bottom"/>
            <w:gridSpan w:val="22"/>
          </w:tcPr>
          <w:p>
            <w:pPr>
              <w:spacing w:after="0" w:line="183"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 xml:space="preserve">March 2022 </w:t>
              </w:r>
              <w:r>
                <w:rPr>
                  <w:rFonts w:ascii="Times New Roman" w:cs="Times New Roman" w:eastAsia="Times New Roman" w:hAnsi="Times New Roman"/>
                  <w:sz w:val="18"/>
                  <w:szCs w:val="18"/>
                  <w:color w:val="0000FF"/>
                </w:rPr>
                <w:t>Form of Common Stock Warrant</w:t>
              </w:r>
            </w:hyperlink>
          </w:p>
        </w:tc>
        <w:tc>
          <w:tcPr>
            <w:tcW w:w="320" w:type="dxa"/>
            <w:vAlign w:val="bottom"/>
          </w:tcPr>
          <w:p>
            <w:pPr>
              <w:spacing w:after="0"/>
              <w:rPr>
                <w:sz w:val="15"/>
                <w:szCs w:val="15"/>
                <w:color w:val="auto"/>
              </w:rPr>
            </w:pPr>
          </w:p>
        </w:tc>
        <w:tc>
          <w:tcPr>
            <w:tcW w:w="660" w:type="dxa"/>
            <w:vAlign w:val="bottom"/>
            <w:gridSpan w:val="7"/>
          </w:tcPr>
          <w:p>
            <w:pPr>
              <w:jc w:val="center"/>
              <w:ind w:right="420"/>
              <w:spacing w:after="0" w:line="183" w:lineRule="exact"/>
              <w:rPr>
                <w:rFonts w:ascii="Times New Roman" w:cs="Times New Roman" w:eastAsia="Times New Roman" w:hAnsi="Times New Roman"/>
                <w:sz w:val="18"/>
                <w:szCs w:val="18"/>
                <w:color w:val="0000EE"/>
                <w:w w:val="95"/>
              </w:rPr>
            </w:pPr>
            <w:hyperlink r:id="rId71">
              <w:r>
                <w:rPr>
                  <w:rFonts w:ascii="Times New Roman" w:cs="Times New Roman" w:eastAsia="Times New Roman" w:hAnsi="Times New Roman"/>
                  <w:sz w:val="18"/>
                  <w:szCs w:val="18"/>
                  <w:color w:val="0000EE"/>
                  <w:w w:val="95"/>
                </w:rPr>
                <w:t>S-1</w:t>
              </w:r>
            </w:hyperlink>
          </w:p>
        </w:tc>
        <w:tc>
          <w:tcPr>
            <w:tcW w:w="560" w:type="dxa"/>
            <w:vAlign w:val="bottom"/>
            <w:gridSpan w:val="7"/>
          </w:tcPr>
          <w:p>
            <w:pPr>
              <w:jc w:val="center"/>
              <w:ind w:left="150"/>
              <w:spacing w:after="0" w:line="183"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7"/>
          </w:tcPr>
          <w:p>
            <w:pPr>
              <w:jc w:val="center"/>
              <w:ind w:left="10"/>
              <w:spacing w:after="0" w:line="183"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3/31/2022</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2"/>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20" w:type="dxa"/>
            <w:vAlign w:val="bottom"/>
            <w:gridSpan w:val="2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 xml:space="preserve">March 2023 Form of Warrant with an Exercise Price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2.90</w:t>
              </w:r>
            </w:hyperlink>
          </w:p>
        </w:tc>
        <w:tc>
          <w:tcPr>
            <w:tcW w:w="320" w:type="dxa"/>
            <w:vAlign w:val="bottom"/>
          </w:tcPr>
          <w:p>
            <w:pPr>
              <w:spacing w:after="0"/>
              <w:rPr>
                <w:sz w:val="17"/>
                <w:szCs w:val="17"/>
                <w:color w:val="auto"/>
              </w:rPr>
            </w:pPr>
          </w:p>
        </w:tc>
        <w:tc>
          <w:tcPr>
            <w:tcW w:w="660" w:type="dxa"/>
            <w:vAlign w:val="bottom"/>
            <w:gridSpan w:val="7"/>
          </w:tcPr>
          <w:p>
            <w:pPr>
              <w:jc w:val="center"/>
              <w:ind w:right="360"/>
              <w:spacing w:after="0" w:line="196" w:lineRule="exact"/>
              <w:rPr>
                <w:rFonts w:ascii="Times New Roman" w:cs="Times New Roman" w:eastAsia="Times New Roman" w:hAnsi="Times New Roman"/>
                <w:sz w:val="18"/>
                <w:szCs w:val="18"/>
                <w:color w:val="0000EE"/>
                <w:w w:val="80"/>
              </w:rPr>
            </w:pPr>
            <w:hyperlink r:id="rId72">
              <w:r>
                <w:rPr>
                  <w:rFonts w:ascii="Times New Roman" w:cs="Times New Roman" w:eastAsia="Times New Roman" w:hAnsi="Times New Roman"/>
                  <w:sz w:val="18"/>
                  <w:szCs w:val="18"/>
                  <w:color w:val="0000EE"/>
                  <w:w w:val="80"/>
                </w:rPr>
                <w:t>10-K</w:t>
              </w:r>
            </w:hyperlink>
          </w:p>
        </w:tc>
        <w:tc>
          <w:tcPr>
            <w:tcW w:w="800" w:type="dxa"/>
            <w:vAlign w:val="bottom"/>
            <w:gridSpan w:val="8"/>
          </w:tcPr>
          <w:p>
            <w:pPr>
              <w:jc w:val="center"/>
              <w:spacing w:after="0" w:line="196"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3/30/2023</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2"/>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20" w:type="dxa"/>
            <w:vAlign w:val="bottom"/>
            <w:gridSpan w:val="2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 xml:space="preserve">March 2023 Form of Warrant with an Exercise Price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3.32</w:t>
              </w:r>
            </w:hyperlink>
          </w:p>
        </w:tc>
        <w:tc>
          <w:tcPr>
            <w:tcW w:w="320" w:type="dxa"/>
            <w:vAlign w:val="bottom"/>
          </w:tcPr>
          <w:p>
            <w:pPr>
              <w:spacing w:after="0"/>
              <w:rPr>
                <w:sz w:val="17"/>
                <w:szCs w:val="17"/>
                <w:color w:val="auto"/>
              </w:rPr>
            </w:pPr>
          </w:p>
        </w:tc>
        <w:tc>
          <w:tcPr>
            <w:tcW w:w="660" w:type="dxa"/>
            <w:vAlign w:val="bottom"/>
            <w:gridSpan w:val="7"/>
          </w:tcPr>
          <w:p>
            <w:pPr>
              <w:jc w:val="center"/>
              <w:ind w:right="360"/>
              <w:spacing w:after="0" w:line="196" w:lineRule="exact"/>
              <w:rPr>
                <w:rFonts w:ascii="Times New Roman" w:cs="Times New Roman" w:eastAsia="Times New Roman" w:hAnsi="Times New Roman"/>
                <w:sz w:val="18"/>
                <w:szCs w:val="18"/>
                <w:color w:val="0000EE"/>
                <w:w w:val="80"/>
              </w:rPr>
            </w:pPr>
            <w:hyperlink r:id="rId73">
              <w:r>
                <w:rPr>
                  <w:rFonts w:ascii="Times New Roman" w:cs="Times New Roman" w:eastAsia="Times New Roman" w:hAnsi="Times New Roman"/>
                  <w:sz w:val="18"/>
                  <w:szCs w:val="18"/>
                  <w:color w:val="0000EE"/>
                  <w:w w:val="80"/>
                </w:rPr>
                <w:t>10-K</w:t>
              </w:r>
            </w:hyperlink>
          </w:p>
        </w:tc>
        <w:tc>
          <w:tcPr>
            <w:tcW w:w="800" w:type="dxa"/>
            <w:vAlign w:val="bottom"/>
            <w:gridSpan w:val="8"/>
          </w:tcPr>
          <w:p>
            <w:pPr>
              <w:jc w:val="center"/>
              <w:spacing w:after="0" w:line="196"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hyperlink>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3/30/2023</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2"/>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gridSpan w:val="7"/>
          </w:tcPr>
          <w:p>
            <w:pPr>
              <w:spacing w:after="0" w:line="196"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December 2023 Form of Convertible Note</w:t>
              </w:r>
            </w:hyperlink>
          </w:p>
        </w:tc>
        <w:tc>
          <w:tcPr>
            <w:tcW w:w="1360" w:type="dxa"/>
            <w:vAlign w:val="bottom"/>
            <w:gridSpan w:val="6"/>
          </w:tcPr>
          <w:p>
            <w:pPr>
              <w:spacing w:after="0"/>
              <w:rPr>
                <w:sz w:val="17"/>
                <w:szCs w:val="17"/>
                <w:color w:val="auto"/>
              </w:rPr>
            </w:pPr>
          </w:p>
        </w:tc>
        <w:tc>
          <w:tcPr>
            <w:tcW w:w="290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5"/>
          </w:tcPr>
          <w:p>
            <w:pPr>
              <w:jc w:val="center"/>
              <w:ind w:right="40"/>
              <w:spacing w:after="0" w:line="196" w:lineRule="exact"/>
              <w:rPr>
                <w:rFonts w:ascii="Times New Roman" w:cs="Times New Roman" w:eastAsia="Times New Roman" w:hAnsi="Times New Roman"/>
                <w:sz w:val="18"/>
                <w:szCs w:val="18"/>
                <w:color w:val="0000EE"/>
                <w:w w:val="92"/>
              </w:rPr>
            </w:pPr>
            <w:hyperlink r:id="rId74">
              <w:r>
                <w:rPr>
                  <w:rFonts w:ascii="Times New Roman" w:cs="Times New Roman" w:eastAsia="Times New Roman" w:hAnsi="Times New Roman"/>
                  <w:sz w:val="18"/>
                  <w:szCs w:val="18"/>
                  <w:color w:val="0000EE"/>
                  <w:w w:val="92"/>
                </w:rPr>
                <w:t>8-K</w:t>
              </w:r>
            </w:hyperlink>
          </w:p>
        </w:tc>
        <w:tc>
          <w:tcPr>
            <w:tcW w:w="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6"/>
          </w:tcPr>
          <w:p>
            <w:pPr>
              <w:jc w:val="cente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8"/>
          </w:tcPr>
          <w:p>
            <w:pPr>
              <w:jc w:val="cente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12/29/2023</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2"/>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hyperlink>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gridSpan w:val="7"/>
          </w:tcPr>
          <w:p>
            <w:pPr>
              <w:spacing w:after="0" w:line="196" w:lineRule="exact"/>
              <w:rPr>
                <w:rFonts w:ascii="Times New Roman" w:cs="Times New Roman" w:eastAsia="Times New Roman" w:hAnsi="Times New Roman"/>
                <w:sz w:val="18"/>
                <w:szCs w:val="18"/>
                <w:color w:val="0000EE"/>
                <w:w w:val="98"/>
              </w:rPr>
            </w:pPr>
            <w:hyperlink r:id="rId75">
              <w:r>
                <w:rPr>
                  <w:rFonts w:ascii="Times New Roman" w:cs="Times New Roman" w:eastAsia="Times New Roman" w:hAnsi="Times New Roman"/>
                  <w:sz w:val="18"/>
                  <w:szCs w:val="18"/>
                  <w:color w:val="0000EE"/>
                  <w:w w:val="98"/>
                </w:rPr>
                <w:t>August 2024 Form of Pre-Funded Warrant</w:t>
              </w:r>
            </w:hyperlink>
          </w:p>
        </w:tc>
        <w:tc>
          <w:tcPr>
            <w:tcW w:w="426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75">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6"/>
          </w:tcPr>
          <w:p>
            <w:pPr>
              <w:jc w:val="center"/>
              <w:ind w:left="90"/>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8/9/2024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420" w:type="dxa"/>
            <w:vAlign w:val="bottom"/>
          </w:tcPr>
          <w:p>
            <w:pPr>
              <w:spacing w:after="0"/>
              <w:rPr>
                <w:sz w:val="17"/>
                <w:szCs w:val="17"/>
                <w:color w:val="auto"/>
              </w:rPr>
            </w:pPr>
          </w:p>
        </w:tc>
        <w:tc>
          <w:tcPr>
            <w:tcW w:w="2820" w:type="dxa"/>
            <w:vAlign w:val="bottom"/>
            <w:gridSpan w:val="5"/>
          </w:tcPr>
          <w:p>
            <w:pPr>
              <w:spacing w:after="0" w:line="196" w:lineRule="exact"/>
              <w:rPr>
                <w:rFonts w:ascii="Times New Roman" w:cs="Times New Roman" w:eastAsia="Times New Roman" w:hAnsi="Times New Roman"/>
                <w:sz w:val="18"/>
                <w:szCs w:val="18"/>
                <w:color w:val="0000EE"/>
                <w:w w:val="97"/>
              </w:rPr>
            </w:pPr>
            <w:hyperlink r:id="rId76">
              <w:r>
                <w:rPr>
                  <w:rFonts w:ascii="Times New Roman" w:cs="Times New Roman" w:eastAsia="Times New Roman" w:hAnsi="Times New Roman"/>
                  <w:sz w:val="18"/>
                  <w:szCs w:val="18"/>
                  <w:color w:val="0000EE"/>
                  <w:w w:val="97"/>
                </w:rPr>
                <w:t>August 2024 Form of Series A Warrant</w:t>
              </w:r>
            </w:hyperlink>
          </w:p>
        </w:tc>
        <w:tc>
          <w:tcPr>
            <w:tcW w:w="4500" w:type="dxa"/>
            <w:vAlign w:val="bottom"/>
            <w:gridSpan w:val="17"/>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76">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6"/>
          </w:tcPr>
          <w:p>
            <w:pPr>
              <w:jc w:val="center"/>
              <w:ind w:left="90"/>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8/9/2024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11</w:t>
              </w:r>
            </w:hyperlink>
          </w:p>
        </w:tc>
        <w:tc>
          <w:tcPr>
            <w:tcW w:w="420" w:type="dxa"/>
            <w:vAlign w:val="bottom"/>
          </w:tcPr>
          <w:p>
            <w:pPr>
              <w:spacing w:after="0"/>
              <w:rPr>
                <w:sz w:val="17"/>
                <w:szCs w:val="17"/>
                <w:color w:val="auto"/>
              </w:rPr>
            </w:pPr>
          </w:p>
        </w:tc>
        <w:tc>
          <w:tcPr>
            <w:tcW w:w="2820" w:type="dxa"/>
            <w:vAlign w:val="bottom"/>
            <w:gridSpan w:val="5"/>
          </w:tcPr>
          <w:p>
            <w:pPr>
              <w:spacing w:after="0" w:line="196" w:lineRule="exact"/>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August 2024 Form of Series B Warrant</w:t>
              </w:r>
            </w:hyperlink>
          </w:p>
        </w:tc>
        <w:tc>
          <w:tcPr>
            <w:tcW w:w="4500" w:type="dxa"/>
            <w:vAlign w:val="bottom"/>
            <w:gridSpan w:val="17"/>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77">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6"/>
          </w:tcPr>
          <w:p>
            <w:pPr>
              <w:jc w:val="center"/>
              <w:ind w:left="90"/>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8/9/2024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4"/>
          </w:tcPr>
          <w:p>
            <w:pPr>
              <w:jc w:val="center"/>
              <w:ind w:left="130"/>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12*</w:t>
              </w:r>
            </w:hyperlink>
          </w:p>
        </w:tc>
        <w:tc>
          <w:tcPr>
            <w:tcW w:w="420" w:type="dxa"/>
            <w:vAlign w:val="bottom"/>
          </w:tcPr>
          <w:p>
            <w:pPr>
              <w:spacing w:after="0"/>
              <w:rPr>
                <w:sz w:val="17"/>
                <w:szCs w:val="17"/>
                <w:color w:val="auto"/>
              </w:rPr>
            </w:pPr>
          </w:p>
        </w:tc>
        <w:tc>
          <w:tcPr>
            <w:tcW w:w="7320" w:type="dxa"/>
            <w:vAlign w:val="bottom"/>
            <w:gridSpan w:val="2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 xml:space="preserve">October 2025 </w:t>
              </w:r>
              <w:r>
                <w:rPr>
                  <w:rFonts w:ascii="Times New Roman" w:cs="Times New Roman" w:eastAsia="Times New Roman" w:hAnsi="Times New Roman"/>
                  <w:sz w:val="18"/>
                  <w:szCs w:val="18"/>
                  <w:color w:val="0000FF"/>
                </w:rPr>
                <w:t>Form of Pre-Funded Warrant</w:t>
              </w:r>
            </w:hyperlink>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FF"/>
                <w:w w:val="92"/>
              </w:rPr>
            </w:pPr>
            <w:hyperlink r:id="rId78">
              <w:r>
                <w:rPr>
                  <w:rFonts w:ascii="Times New Roman" w:cs="Times New Roman" w:eastAsia="Times New Roman" w:hAnsi="Times New Roman"/>
                  <w:sz w:val="18"/>
                  <w:szCs w:val="18"/>
                  <w:color w:val="0000FF"/>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8"/>
          </w:tcPr>
          <w:p>
            <w:pPr>
              <w:jc w:val="cente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10/17/2025</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4"/>
          </w:tcPr>
          <w:p>
            <w:pPr>
              <w:jc w:val="center"/>
              <w:ind w:left="130"/>
              <w:spacing w:after="0" w:line="196"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13*</w:t>
              </w:r>
            </w:hyperlink>
          </w:p>
        </w:tc>
        <w:tc>
          <w:tcPr>
            <w:tcW w:w="420" w:type="dxa"/>
            <w:vAlign w:val="bottom"/>
          </w:tcPr>
          <w:p>
            <w:pPr>
              <w:spacing w:after="0"/>
              <w:rPr>
                <w:sz w:val="17"/>
                <w:szCs w:val="17"/>
                <w:color w:val="auto"/>
              </w:rPr>
            </w:pPr>
          </w:p>
        </w:tc>
        <w:tc>
          <w:tcPr>
            <w:tcW w:w="7320" w:type="dxa"/>
            <w:vAlign w:val="bottom"/>
            <w:gridSpan w:val="22"/>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October 2025 Form of Common Warrant</w:t>
              </w:r>
            </w:hyperlink>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79">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8"/>
          </w:tcPr>
          <w:p>
            <w:pPr>
              <w:jc w:val="cente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10/17/2025</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420" w:type="dxa"/>
            <w:vAlign w:val="bottom"/>
          </w:tcPr>
          <w:p>
            <w:pPr>
              <w:spacing w:after="0"/>
              <w:rPr>
                <w:sz w:val="17"/>
                <w:szCs w:val="17"/>
                <w:color w:val="auto"/>
              </w:rPr>
            </w:pPr>
          </w:p>
        </w:tc>
        <w:tc>
          <w:tcPr>
            <w:tcW w:w="3100" w:type="dxa"/>
            <w:vAlign w:val="bottom"/>
            <w:gridSpan w:val="8"/>
          </w:tcPr>
          <w:p>
            <w:pPr>
              <w:spacing w:after="0" w:line="196"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January 2025 Form of Pre-Funded Warrant</w:t>
              </w:r>
            </w:hyperlink>
          </w:p>
        </w:tc>
        <w:tc>
          <w:tcPr>
            <w:tcW w:w="4220" w:type="dxa"/>
            <w:vAlign w:val="bottom"/>
            <w:gridSpan w:val="14"/>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80">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6"/>
          </w:tcPr>
          <w:p>
            <w:pPr>
              <w:jc w:val="center"/>
              <w:ind w:left="90"/>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1/3/2025</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hyperlink>
          </w:p>
        </w:tc>
        <w:tc>
          <w:tcPr>
            <w:tcW w:w="420" w:type="dxa"/>
            <w:vAlign w:val="bottom"/>
          </w:tcPr>
          <w:p>
            <w:pPr>
              <w:spacing w:after="0"/>
              <w:rPr>
                <w:sz w:val="17"/>
                <w:szCs w:val="17"/>
                <w:color w:val="auto"/>
              </w:rPr>
            </w:pPr>
          </w:p>
        </w:tc>
        <w:tc>
          <w:tcPr>
            <w:tcW w:w="3100" w:type="dxa"/>
            <w:vAlign w:val="bottom"/>
            <w:gridSpan w:val="8"/>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January 2025 Form of Common Warrant</w:t>
              </w:r>
            </w:hyperlink>
          </w:p>
        </w:tc>
        <w:tc>
          <w:tcPr>
            <w:tcW w:w="4220" w:type="dxa"/>
            <w:vAlign w:val="bottom"/>
            <w:gridSpan w:val="14"/>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81">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6"/>
          </w:tcPr>
          <w:p>
            <w:pPr>
              <w:jc w:val="center"/>
              <w:ind w:left="90"/>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1/3/2025</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40" w:type="dxa"/>
            <w:vAlign w:val="bottom"/>
            <w:gridSpan w:val="4"/>
          </w:tcPr>
          <w:p>
            <w:pPr>
              <w:jc w:val="center"/>
              <w:ind w:right="380"/>
              <w:spacing w:after="0" w:line="196" w:lineRule="exact"/>
              <w:rPr>
                <w:rFonts w:ascii="Times New Roman" w:cs="Times New Roman" w:eastAsia="Times New Roman" w:hAnsi="Times New Roman"/>
                <w:sz w:val="18"/>
                <w:szCs w:val="18"/>
                <w:color w:val="0000EE"/>
                <w:w w:val="88"/>
              </w:rPr>
            </w:pPr>
            <w:hyperlink r:id="rId82">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hyperlink>
          </w:p>
        </w:tc>
        <w:tc>
          <w:tcPr>
            <w:tcW w:w="7320" w:type="dxa"/>
            <w:vAlign w:val="bottom"/>
            <w:gridSpan w:val="22"/>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Non-Employee Director Compensation Policy, effective October 16, 2025</w:t>
              </w:r>
            </w:hyperlink>
          </w:p>
        </w:tc>
        <w:tc>
          <w:tcPr>
            <w:tcW w:w="320" w:type="dxa"/>
            <w:vAlign w:val="bottom"/>
          </w:tcPr>
          <w:p>
            <w:pPr>
              <w:spacing w:after="0"/>
              <w:rPr>
                <w:sz w:val="17"/>
                <w:szCs w:val="17"/>
                <w:color w:val="auto"/>
              </w:rPr>
            </w:pPr>
          </w:p>
        </w:tc>
        <w:tc>
          <w:tcPr>
            <w:tcW w:w="660" w:type="dxa"/>
            <w:vAlign w:val="bottom"/>
            <w:gridSpan w:val="7"/>
          </w:tcPr>
          <w:p>
            <w:pPr>
              <w:jc w:val="center"/>
              <w:ind w:right="360"/>
              <w:spacing w:after="0" w:line="196" w:lineRule="exact"/>
              <w:rPr>
                <w:rFonts w:ascii="Times New Roman" w:cs="Times New Roman" w:eastAsia="Times New Roman" w:hAnsi="Times New Roman"/>
                <w:sz w:val="18"/>
                <w:szCs w:val="18"/>
                <w:color w:val="0000EE"/>
                <w:w w:val="80"/>
              </w:rPr>
            </w:pPr>
            <w:hyperlink r:id="rId82">
              <w:r>
                <w:rPr>
                  <w:rFonts w:ascii="Times New Roman" w:cs="Times New Roman" w:eastAsia="Times New Roman" w:hAnsi="Times New Roman"/>
                  <w:sz w:val="18"/>
                  <w:szCs w:val="18"/>
                  <w:color w:val="0000EE"/>
                  <w:w w:val="80"/>
                </w:rPr>
                <w:t>10-Q</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7"/>
              </w:rPr>
            </w:pPr>
            <w:hyperlink r:id="rId82">
              <w:r>
                <w:rPr>
                  <w:rFonts w:ascii="Times New Roman" w:cs="Times New Roman" w:eastAsia="Times New Roman" w:hAnsi="Times New Roman"/>
                  <w:sz w:val="18"/>
                  <w:szCs w:val="18"/>
                  <w:color w:val="0000EE"/>
                  <w:w w:val="97"/>
                </w:rPr>
                <w:t>11/13/2025</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40" w:type="dxa"/>
            <w:vAlign w:val="bottom"/>
            <w:gridSpan w:val="4"/>
          </w:tcPr>
          <w:p>
            <w:pPr>
              <w:jc w:val="center"/>
              <w:ind w:right="380"/>
              <w:spacing w:after="0" w:line="196" w:lineRule="exact"/>
              <w:rPr>
                <w:rFonts w:ascii="Times New Roman" w:cs="Times New Roman" w:eastAsia="Times New Roman" w:hAnsi="Times New Roman"/>
                <w:sz w:val="18"/>
                <w:szCs w:val="18"/>
                <w:color w:val="0000EE"/>
                <w:w w:val="88"/>
              </w:rPr>
            </w:pPr>
            <w:hyperlink r:id="rId83">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2†</w:t>
              </w:r>
            </w:hyperlink>
          </w:p>
        </w:tc>
        <w:tc>
          <w:tcPr>
            <w:tcW w:w="7320" w:type="dxa"/>
            <w:vAlign w:val="bottom"/>
            <w:gridSpan w:val="22"/>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Expion360 Inc. 2021 Incentive Award Plan</w:t>
              </w:r>
            </w:hyperlink>
          </w:p>
        </w:tc>
        <w:tc>
          <w:tcPr>
            <w:tcW w:w="320" w:type="dxa"/>
            <w:vAlign w:val="bottom"/>
          </w:tcPr>
          <w:p>
            <w:pPr>
              <w:spacing w:after="0"/>
              <w:rPr>
                <w:sz w:val="17"/>
                <w:szCs w:val="17"/>
                <w:color w:val="auto"/>
              </w:rPr>
            </w:pPr>
          </w:p>
        </w:tc>
        <w:tc>
          <w:tcPr>
            <w:tcW w:w="660" w:type="dxa"/>
            <w:vAlign w:val="bottom"/>
            <w:gridSpan w:val="7"/>
          </w:tcPr>
          <w:p>
            <w:pPr>
              <w:jc w:val="center"/>
              <w:ind w:right="420"/>
              <w:spacing w:after="0" w:line="196" w:lineRule="exact"/>
              <w:rPr>
                <w:rFonts w:ascii="Times New Roman" w:cs="Times New Roman" w:eastAsia="Times New Roman" w:hAnsi="Times New Roman"/>
                <w:sz w:val="18"/>
                <w:szCs w:val="18"/>
                <w:color w:val="0000EE"/>
                <w:w w:val="95"/>
              </w:rPr>
            </w:pPr>
            <w:hyperlink r:id="rId83">
              <w:r>
                <w:rPr>
                  <w:rFonts w:ascii="Times New Roman" w:cs="Times New Roman" w:eastAsia="Times New Roman" w:hAnsi="Times New Roman"/>
                  <w:sz w:val="18"/>
                  <w:szCs w:val="18"/>
                  <w:color w:val="0000EE"/>
                  <w:w w:val="95"/>
                </w:rPr>
                <w:t>S-1</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3/31/2022</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40" w:type="dxa"/>
            <w:vAlign w:val="bottom"/>
            <w:gridSpan w:val="4"/>
          </w:tcPr>
          <w:p>
            <w:pPr>
              <w:jc w:val="center"/>
              <w:ind w:right="380"/>
              <w:spacing w:after="0" w:line="196" w:lineRule="exact"/>
              <w:rPr>
                <w:rFonts w:ascii="Times New Roman" w:cs="Times New Roman" w:eastAsia="Times New Roman" w:hAnsi="Times New Roman"/>
                <w:sz w:val="18"/>
                <w:szCs w:val="18"/>
                <w:color w:val="0000EE"/>
                <w:w w:val="88"/>
              </w:rPr>
            </w:pPr>
            <w:hyperlink r:id="rId84">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3†</w:t>
              </w:r>
            </w:hyperlink>
          </w:p>
        </w:tc>
        <w:tc>
          <w:tcPr>
            <w:tcW w:w="7320" w:type="dxa"/>
            <w:vAlign w:val="bottom"/>
            <w:gridSpan w:val="2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Amendment to Expion360 Inc. 2021 Incentive Award Plan</w:t>
              </w:r>
            </w:hyperlink>
          </w:p>
        </w:tc>
        <w:tc>
          <w:tcPr>
            <w:tcW w:w="320" w:type="dxa"/>
            <w:vAlign w:val="bottom"/>
          </w:tcPr>
          <w:p>
            <w:pPr>
              <w:spacing w:after="0"/>
              <w:rPr>
                <w:sz w:val="17"/>
                <w:szCs w:val="17"/>
                <w:color w:val="auto"/>
              </w:rPr>
            </w:pPr>
          </w:p>
        </w:tc>
        <w:tc>
          <w:tcPr>
            <w:tcW w:w="660" w:type="dxa"/>
            <w:vAlign w:val="bottom"/>
            <w:gridSpan w:val="7"/>
          </w:tcPr>
          <w:p>
            <w:pPr>
              <w:jc w:val="center"/>
              <w:ind w:right="360"/>
              <w:spacing w:after="0" w:line="196" w:lineRule="exact"/>
              <w:rPr>
                <w:rFonts w:ascii="Times New Roman" w:cs="Times New Roman" w:eastAsia="Times New Roman" w:hAnsi="Times New Roman"/>
                <w:sz w:val="18"/>
                <w:szCs w:val="18"/>
                <w:color w:val="0000EE"/>
                <w:w w:val="80"/>
              </w:rPr>
            </w:pPr>
            <w:hyperlink r:id="rId84">
              <w:r>
                <w:rPr>
                  <w:rFonts w:ascii="Times New Roman" w:cs="Times New Roman" w:eastAsia="Times New Roman" w:hAnsi="Times New Roman"/>
                  <w:sz w:val="18"/>
                  <w:szCs w:val="18"/>
                  <w:color w:val="0000EE"/>
                  <w:w w:val="80"/>
                </w:rPr>
                <w:t>10-K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6"/>
          </w:tcPr>
          <w:p>
            <w:pPr>
              <w:ind w:left="80"/>
              <w:spacing w:after="0" w:line="196" w:lineRule="exact"/>
              <w:rPr>
                <w:rFonts w:ascii="Times New Roman" w:cs="Times New Roman" w:eastAsia="Times New Roman" w:hAnsi="Times New Roman"/>
                <w:sz w:val="18"/>
                <w:szCs w:val="18"/>
                <w:color w:val="0000EE"/>
                <w:w w:val="95"/>
              </w:rPr>
            </w:pPr>
            <w:hyperlink r:id="rId84">
              <w:r>
                <w:rPr>
                  <w:rFonts w:ascii="Times New Roman" w:cs="Times New Roman" w:eastAsia="Times New Roman" w:hAnsi="Times New Roman"/>
                  <w:sz w:val="18"/>
                  <w:szCs w:val="18"/>
                  <w:color w:val="0000EE"/>
                  <w:w w:val="95"/>
                </w:rPr>
                <w:t>3/28/2024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40" w:type="dxa"/>
            <w:vAlign w:val="bottom"/>
            <w:gridSpan w:val="4"/>
          </w:tcPr>
          <w:p>
            <w:pPr>
              <w:jc w:val="center"/>
              <w:ind w:right="380"/>
              <w:spacing w:after="0" w:line="196" w:lineRule="exact"/>
              <w:rPr>
                <w:rFonts w:ascii="Times New Roman" w:cs="Times New Roman" w:eastAsia="Times New Roman" w:hAnsi="Times New Roman"/>
                <w:sz w:val="18"/>
                <w:szCs w:val="18"/>
                <w:color w:val="0000EE"/>
                <w:w w:val="88"/>
              </w:rPr>
            </w:pPr>
            <w:hyperlink r:id="rId85">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4†</w:t>
              </w:r>
            </w:hyperlink>
          </w:p>
        </w:tc>
        <w:tc>
          <w:tcPr>
            <w:tcW w:w="7320" w:type="dxa"/>
            <w:vAlign w:val="bottom"/>
            <w:gridSpan w:val="22"/>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Expion360 Inc. 2021 Employee Stock Purchase Plan</w:t>
              </w:r>
            </w:hyperlink>
          </w:p>
        </w:tc>
        <w:tc>
          <w:tcPr>
            <w:tcW w:w="320" w:type="dxa"/>
            <w:vAlign w:val="bottom"/>
          </w:tcPr>
          <w:p>
            <w:pPr>
              <w:spacing w:after="0"/>
              <w:rPr>
                <w:sz w:val="17"/>
                <w:szCs w:val="17"/>
                <w:color w:val="auto"/>
              </w:rPr>
            </w:pPr>
          </w:p>
        </w:tc>
        <w:tc>
          <w:tcPr>
            <w:tcW w:w="660" w:type="dxa"/>
            <w:vAlign w:val="bottom"/>
            <w:gridSpan w:val="7"/>
          </w:tcPr>
          <w:p>
            <w:pPr>
              <w:jc w:val="center"/>
              <w:ind w:right="420"/>
              <w:spacing w:after="0" w:line="196" w:lineRule="exact"/>
              <w:rPr>
                <w:rFonts w:ascii="Times New Roman" w:cs="Times New Roman" w:eastAsia="Times New Roman" w:hAnsi="Times New Roman"/>
                <w:sz w:val="18"/>
                <w:szCs w:val="18"/>
                <w:color w:val="0000EE"/>
                <w:w w:val="95"/>
              </w:rPr>
            </w:pPr>
            <w:hyperlink r:id="rId85">
              <w:r>
                <w:rPr>
                  <w:rFonts w:ascii="Times New Roman" w:cs="Times New Roman" w:eastAsia="Times New Roman" w:hAnsi="Times New Roman"/>
                  <w:sz w:val="18"/>
                  <w:szCs w:val="18"/>
                  <w:color w:val="0000EE"/>
                  <w:w w:val="95"/>
                </w:rPr>
                <w:t>S-1</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3/31/2022</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4"/>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740" w:type="dxa"/>
            <w:vAlign w:val="bottom"/>
            <w:gridSpan w:val="7"/>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420" w:type="dxa"/>
            <w:vAlign w:val="bottom"/>
          </w:tcPr>
          <w:p>
            <w:pPr>
              <w:spacing w:after="0"/>
              <w:rPr>
                <w:sz w:val="17"/>
                <w:szCs w:val="17"/>
                <w:color w:val="auto"/>
              </w:rPr>
            </w:pPr>
          </w:p>
        </w:tc>
        <w:tc>
          <w:tcPr>
            <w:tcW w:w="7320" w:type="dxa"/>
            <w:vAlign w:val="bottom"/>
            <w:gridSpan w:val="22"/>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Commercial Lease of premises at 2025 SW Deerhound Avenue Redmond, OR</w:t>
              </w:r>
            </w:hyperlink>
          </w:p>
        </w:tc>
        <w:tc>
          <w:tcPr>
            <w:tcW w:w="320" w:type="dxa"/>
            <w:vAlign w:val="bottom"/>
          </w:tcPr>
          <w:p>
            <w:pPr>
              <w:spacing w:after="0"/>
              <w:rPr>
                <w:sz w:val="17"/>
                <w:szCs w:val="17"/>
                <w:color w:val="auto"/>
              </w:rPr>
            </w:pPr>
          </w:p>
        </w:tc>
        <w:tc>
          <w:tcPr>
            <w:tcW w:w="660" w:type="dxa"/>
            <w:vAlign w:val="bottom"/>
            <w:gridSpan w:val="7"/>
          </w:tcPr>
          <w:p>
            <w:pPr>
              <w:jc w:val="center"/>
              <w:ind w:right="420"/>
              <w:spacing w:after="0" w:line="196" w:lineRule="exact"/>
              <w:rPr>
                <w:rFonts w:ascii="Times New Roman" w:cs="Times New Roman" w:eastAsia="Times New Roman" w:hAnsi="Times New Roman"/>
                <w:sz w:val="18"/>
                <w:szCs w:val="18"/>
                <w:color w:val="0000EE"/>
                <w:w w:val="95"/>
              </w:rPr>
            </w:pPr>
            <w:hyperlink r:id="rId86">
              <w:r>
                <w:rPr>
                  <w:rFonts w:ascii="Times New Roman" w:cs="Times New Roman" w:eastAsia="Times New Roman" w:hAnsi="Times New Roman"/>
                  <w:sz w:val="18"/>
                  <w:szCs w:val="18"/>
                  <w:color w:val="0000EE"/>
                  <w:w w:val="95"/>
                </w:rPr>
                <w:t>S-1</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3/31/2022</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3580" w:type="dxa"/>
            <w:vAlign w:val="bottom"/>
            <w:gridSpan w:val="14"/>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gridSpan w:val="3"/>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4"/>
          </w:tcPr>
          <w:p>
            <w:pPr>
              <w:jc w:val="center"/>
              <w:ind w:left="130"/>
              <w:spacing w:after="0" w:line="196" w:lineRule="exact"/>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6*</w:t>
              </w:r>
            </w:hyperlink>
          </w:p>
        </w:tc>
        <w:tc>
          <w:tcPr>
            <w:tcW w:w="420" w:type="dxa"/>
            <w:vAlign w:val="bottom"/>
          </w:tcPr>
          <w:p>
            <w:pPr>
              <w:spacing w:after="0"/>
              <w:rPr>
                <w:sz w:val="17"/>
                <w:szCs w:val="17"/>
                <w:color w:val="auto"/>
              </w:rPr>
            </w:pPr>
          </w:p>
        </w:tc>
        <w:tc>
          <w:tcPr>
            <w:tcW w:w="7320" w:type="dxa"/>
            <w:vAlign w:val="bottom"/>
            <w:gridSpan w:val="22"/>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Underwriting Agreement, dated August 7, 2024, between Expion360 Inc. and Aegis Capital Corp.</w:t>
              </w:r>
            </w:hyperlink>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87">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6"/>
          </w:tcPr>
          <w:p>
            <w:pPr>
              <w:jc w:val="center"/>
              <w:ind w:left="90"/>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8/9/2024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500" w:type="dxa"/>
            <w:vAlign w:val="bottom"/>
            <w:gridSpan w:val="16"/>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4"/>
          </w:tcPr>
          <w:p>
            <w:pPr>
              <w:jc w:val="center"/>
              <w:ind w:left="130"/>
              <w:spacing w:after="0" w:line="196"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7*</w:t>
              </w:r>
            </w:hyperlink>
          </w:p>
        </w:tc>
        <w:tc>
          <w:tcPr>
            <w:tcW w:w="420" w:type="dxa"/>
            <w:vAlign w:val="bottom"/>
          </w:tcPr>
          <w:p>
            <w:pPr>
              <w:spacing w:after="0"/>
              <w:rPr>
                <w:sz w:val="17"/>
                <w:szCs w:val="17"/>
                <w:color w:val="auto"/>
              </w:rPr>
            </w:pPr>
          </w:p>
        </w:tc>
        <w:tc>
          <w:tcPr>
            <w:tcW w:w="7320" w:type="dxa"/>
            <w:vAlign w:val="bottom"/>
            <w:gridSpan w:val="2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At-The-Market Issuance Sales Agreement, dated December 12, 2025, by and between Expion360</w:t>
              </w:r>
            </w:hyperlink>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Inc. and Aegis Capital Corp.</w:t>
              </w:r>
            </w:hyperlink>
          </w:p>
        </w:tc>
        <w:tc>
          <w:tcPr>
            <w:tcW w:w="5000" w:type="dxa"/>
            <w:vAlign w:val="bottom"/>
            <w:tcBorders>
              <w:top w:val="single" w:sz="8" w:color="0000EE"/>
            </w:tcBorders>
            <w:gridSpan w:val="17"/>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7"/>
          </w:tcPr>
          <w:p>
            <w:pPr>
              <w:jc w:val="center"/>
              <w:ind w:right="400"/>
              <w:spacing w:after="0" w:line="196" w:lineRule="exact"/>
              <w:rPr>
                <w:rFonts w:ascii="Times New Roman" w:cs="Times New Roman" w:eastAsia="Times New Roman" w:hAnsi="Times New Roman"/>
                <w:sz w:val="18"/>
                <w:szCs w:val="18"/>
                <w:color w:val="0000EE"/>
                <w:w w:val="92"/>
              </w:rPr>
            </w:pPr>
            <w:hyperlink r:id="rId88">
              <w:r>
                <w:rPr>
                  <w:rFonts w:ascii="Times New Roman" w:cs="Times New Roman" w:eastAsia="Times New Roman" w:hAnsi="Times New Roman"/>
                  <w:sz w:val="18"/>
                  <w:szCs w:val="18"/>
                  <w:color w:val="0000EE"/>
                  <w:w w:val="92"/>
                </w:rPr>
                <w:t>8-K</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8"/>
          </w:tcPr>
          <w:p>
            <w:pPr>
              <w:jc w:val="cente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12/15/2025</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500" w:type="dxa"/>
            <w:vAlign w:val="bottom"/>
            <w:gridSpan w:val="1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40" w:type="dxa"/>
            <w:vAlign w:val="bottom"/>
            <w:gridSpan w:val="4"/>
          </w:tcPr>
          <w:p>
            <w:pPr>
              <w:jc w:val="center"/>
              <w:ind w:right="380"/>
              <w:spacing w:after="0" w:line="196" w:lineRule="exact"/>
              <w:rPr>
                <w:rFonts w:ascii="Times New Roman" w:cs="Times New Roman" w:eastAsia="Times New Roman" w:hAnsi="Times New Roman"/>
                <w:sz w:val="18"/>
                <w:szCs w:val="18"/>
                <w:color w:val="0000EE"/>
                <w:w w:val="88"/>
              </w:rPr>
            </w:pPr>
            <w:hyperlink r:id="rId89">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8†</w:t>
              </w:r>
            </w:hyperlink>
          </w:p>
        </w:tc>
        <w:tc>
          <w:tcPr>
            <w:tcW w:w="7320" w:type="dxa"/>
            <w:vAlign w:val="bottom"/>
            <w:gridSpan w:val="22"/>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Employment Agreement, between Carson Heagen and Expion360 Inc., dated April 1, 2025</w:t>
              </w:r>
            </w:hyperlink>
          </w:p>
        </w:tc>
        <w:tc>
          <w:tcPr>
            <w:tcW w:w="320" w:type="dxa"/>
            <w:vAlign w:val="bottom"/>
          </w:tcPr>
          <w:p>
            <w:pPr>
              <w:spacing w:after="0"/>
              <w:rPr>
                <w:sz w:val="17"/>
                <w:szCs w:val="17"/>
                <w:color w:val="auto"/>
              </w:rPr>
            </w:pPr>
          </w:p>
        </w:tc>
        <w:tc>
          <w:tcPr>
            <w:tcW w:w="660" w:type="dxa"/>
            <w:vAlign w:val="bottom"/>
            <w:gridSpan w:val="7"/>
          </w:tcPr>
          <w:p>
            <w:pPr>
              <w:jc w:val="center"/>
              <w:ind w:right="360"/>
              <w:spacing w:after="0" w:line="196" w:lineRule="exact"/>
              <w:rPr>
                <w:rFonts w:ascii="Times New Roman" w:cs="Times New Roman" w:eastAsia="Times New Roman" w:hAnsi="Times New Roman"/>
                <w:sz w:val="18"/>
                <w:szCs w:val="18"/>
                <w:color w:val="0000EE"/>
                <w:w w:val="80"/>
              </w:rPr>
            </w:pPr>
            <w:hyperlink r:id="rId89">
              <w:r>
                <w:rPr>
                  <w:rFonts w:ascii="Times New Roman" w:cs="Times New Roman" w:eastAsia="Times New Roman" w:hAnsi="Times New Roman"/>
                  <w:sz w:val="18"/>
                  <w:szCs w:val="18"/>
                  <w:color w:val="0000EE"/>
                  <w:w w:val="80"/>
                </w:rPr>
                <w:t>10-Q</w:t>
              </w:r>
            </w:hyperlink>
          </w:p>
        </w:tc>
        <w:tc>
          <w:tcPr>
            <w:tcW w:w="560" w:type="dxa"/>
            <w:vAlign w:val="bottom"/>
            <w:gridSpan w:val="7"/>
          </w:tcPr>
          <w:p>
            <w:pPr>
              <w:jc w:val="center"/>
              <w:ind w:left="150"/>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5/15/2025</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3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160" w:type="dxa"/>
            <w:vAlign w:val="bottom"/>
            <w:tcBorders>
              <w:top w:val="single" w:sz="8" w:color="0000EE"/>
              <w:bottom w:val="single" w:sz="8" w:color="auto"/>
            </w:tcBorders>
            <w:gridSpan w:val="14"/>
          </w:tcPr>
          <w:p>
            <w:pPr>
              <w:ind w:left="448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48" w:name="page49"/>
    <w:bookmarkEnd w:id="48"/>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7"/>
          </w:tcPr>
          <w:p>
            <w:pPr>
              <w:jc w:val="center"/>
              <w:ind w:right="380"/>
              <w:spacing w:after="0"/>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9†</w:t>
              </w:r>
            </w:hyperlink>
          </w:p>
        </w:tc>
        <w:tc>
          <w:tcPr>
            <w:tcW w:w="7620" w:type="dxa"/>
            <w:vAlign w:val="bottom"/>
            <w:gridSpan w:val="25"/>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Employment Agreement, by and between the Company and Shawna</w:t>
              </w:r>
            </w:hyperlink>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2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Bowin, effective September 3, 2025</w:t>
              </w:r>
            </w:hyperlink>
          </w:p>
        </w:tc>
        <w:tc>
          <w:tcPr>
            <w:tcW w:w="1000" w:type="dxa"/>
            <w:vAlign w:val="bottom"/>
            <w:gridSpan w:val="9"/>
          </w:tcPr>
          <w:p>
            <w:pPr>
              <w:spacing w:after="0"/>
              <w:rPr>
                <w:sz w:val="17"/>
                <w:szCs w:val="17"/>
                <w:color w:val="auto"/>
              </w:rPr>
            </w:pPr>
          </w:p>
        </w:tc>
        <w:tc>
          <w:tcPr>
            <w:tcW w:w="280" w:type="dxa"/>
            <w:vAlign w:val="bottom"/>
          </w:tcPr>
          <w:p>
            <w:pPr>
              <w:jc w:val="center"/>
              <w:spacing w:after="0" w:line="196" w:lineRule="exact"/>
              <w:rPr>
                <w:rFonts w:ascii="Times New Roman" w:cs="Times New Roman" w:eastAsia="Times New Roman" w:hAnsi="Times New Roman"/>
                <w:sz w:val="18"/>
                <w:szCs w:val="18"/>
                <w:color w:val="0000EE"/>
                <w:w w:val="86"/>
              </w:rPr>
            </w:pPr>
            <w:hyperlink r:id="rId90">
              <w:r>
                <w:rPr>
                  <w:rFonts w:ascii="Times New Roman" w:cs="Times New Roman" w:eastAsia="Times New Roman" w:hAnsi="Times New Roman"/>
                  <w:sz w:val="18"/>
                  <w:szCs w:val="18"/>
                  <w:color w:val="0000EE"/>
                  <w:w w:val="86"/>
                </w:rPr>
                <w:t>10-Q</w:t>
              </w:r>
            </w:hyperlink>
          </w:p>
        </w:tc>
        <w:tc>
          <w:tcPr>
            <w:tcW w:w="960" w:type="dxa"/>
            <w:vAlign w:val="bottom"/>
            <w:gridSpan w:val="3"/>
          </w:tcPr>
          <w:p>
            <w:pPr>
              <w:jc w:val="center"/>
              <w:ind w:left="450"/>
              <w:spacing w:after="0" w:line="196" w:lineRule="exact"/>
              <w:rPr>
                <w:rFonts w:ascii="Times New Roman" w:cs="Times New Roman" w:eastAsia="Times New Roman" w:hAnsi="Times New Roman"/>
                <w:sz w:val="18"/>
                <w:szCs w:val="18"/>
                <w:color w:val="0000EE"/>
                <w:w w:val="95"/>
              </w:rPr>
            </w:pPr>
            <w:hyperlink r:id="rId9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80" w:type="dxa"/>
            <w:vAlign w:val="bottom"/>
          </w:tcPr>
          <w:p>
            <w:pPr>
              <w:spacing w:after="0"/>
              <w:rPr>
                <w:sz w:val="17"/>
                <w:szCs w:val="17"/>
                <w:color w:val="auto"/>
              </w:rPr>
            </w:pPr>
          </w:p>
        </w:tc>
        <w:tc>
          <w:tcPr>
            <w:tcW w:w="1020" w:type="dxa"/>
            <w:vAlign w:val="bottom"/>
            <w:gridSpan w:val="3"/>
          </w:tcPr>
          <w:p>
            <w:pPr>
              <w:jc w:val="center"/>
              <w:ind w:left="110"/>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11/13/2025</w:t>
              </w:r>
            </w:hyperlink>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640" w:type="dxa"/>
            <w:vAlign w:val="bottom"/>
            <w:gridSpan w:val="9"/>
          </w:tcPr>
          <w:p>
            <w:pPr>
              <w:jc w:val="center"/>
              <w:spacing w:after="0" w:line="196" w:lineRule="exact"/>
              <w:rPr>
                <w:rFonts w:ascii="Times New Roman" w:cs="Times New Roman" w:eastAsia="Times New Roman" w:hAnsi="Times New Roman"/>
                <w:sz w:val="18"/>
                <w:szCs w:val="18"/>
                <w:color w:val="0000EE"/>
                <w:w w:val="96"/>
              </w:rPr>
            </w:pPr>
            <w:hyperlink r:id="rId79">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10*</w:t>
              </w:r>
            </w:hyperlink>
          </w:p>
        </w:tc>
        <w:tc>
          <w:tcPr>
            <w:tcW w:w="28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Securities Purchase Agreement, dated as of January 2, 2025, by and among the Company</w:t>
              </w:r>
            </w:hyperlink>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and the purchasers on the signature pages thereto</w:t>
              </w:r>
            </w:hyperlink>
          </w:p>
        </w:tc>
        <w:tc>
          <w:tcPr>
            <w:tcW w:w="560" w:type="dxa"/>
            <w:vAlign w:val="bottom"/>
            <w:gridSpan w:val="4"/>
          </w:tcPr>
          <w:p>
            <w:pPr>
              <w:spacing w:after="0"/>
              <w:rPr>
                <w:sz w:val="17"/>
                <w:szCs w:val="17"/>
                <w:color w:val="auto"/>
              </w:rPr>
            </w:pPr>
          </w:p>
        </w:tc>
        <w:tc>
          <w:tcPr>
            <w:tcW w:w="280" w:type="dxa"/>
            <w:vAlign w:val="bottom"/>
          </w:tcPr>
          <w:p>
            <w:pPr>
              <w:jc w:val="cente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8-K</w:t>
              </w:r>
            </w:hyperlink>
          </w:p>
        </w:tc>
        <w:tc>
          <w:tcPr>
            <w:tcW w:w="960" w:type="dxa"/>
            <w:vAlign w:val="bottom"/>
            <w:gridSpan w:val="3"/>
          </w:tcPr>
          <w:p>
            <w:pPr>
              <w:jc w:val="center"/>
              <w:ind w:left="450"/>
              <w:spacing w:after="0" w:line="196" w:lineRule="exact"/>
              <w:rPr>
                <w:rFonts w:ascii="Times New Roman" w:cs="Times New Roman" w:eastAsia="Times New Roman" w:hAnsi="Times New Roman"/>
                <w:sz w:val="18"/>
                <w:szCs w:val="18"/>
                <w:color w:val="0000EE"/>
                <w:w w:val="95"/>
              </w:rPr>
            </w:pPr>
            <w:hyperlink r:id="rId7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80" w:type="dxa"/>
            <w:vAlign w:val="bottom"/>
          </w:tcPr>
          <w:p>
            <w:pPr>
              <w:spacing w:after="0"/>
              <w:rPr>
                <w:sz w:val="17"/>
                <w:szCs w:val="17"/>
                <w:color w:val="auto"/>
              </w:rPr>
            </w:pPr>
          </w:p>
        </w:tc>
        <w:tc>
          <w:tcPr>
            <w:tcW w:w="920" w:type="dxa"/>
            <w:vAlign w:val="bottom"/>
            <w:gridSpan w:val="2"/>
          </w:tcPr>
          <w:p>
            <w:pPr>
              <w:jc w:val="center"/>
              <w:ind w:left="190"/>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1/3/2025</w:t>
              </w:r>
            </w:hyperlink>
          </w:p>
        </w:tc>
        <w:tc>
          <w:tcPr>
            <w:tcW w:w="1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gridSpan w:val="8"/>
          </w:tcPr>
          <w:p>
            <w:pPr>
              <w:jc w:val="center"/>
              <w:ind w:left="10"/>
              <w:spacing w:after="0" w:line="196" w:lineRule="exact"/>
              <w:rPr>
                <w:rFonts w:ascii="Times New Roman" w:cs="Times New Roman" w:eastAsia="Times New Roman" w:hAnsi="Times New Roman"/>
                <w:sz w:val="18"/>
                <w:szCs w:val="18"/>
                <w:color w:val="0000EE"/>
                <w:w w:val="96"/>
              </w:rPr>
            </w:pPr>
            <w:hyperlink r:id="rId91">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11*</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Registration Rights Agreement, dated as of January 2, 2025, by and among the Company</w:t>
              </w:r>
            </w:hyperlink>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and the purchasers on the signature pages thereto</w:t>
              </w:r>
            </w:hyperlink>
          </w:p>
        </w:tc>
        <w:tc>
          <w:tcPr>
            <w:tcW w:w="580" w:type="dxa"/>
            <w:vAlign w:val="bottom"/>
            <w:gridSpan w:val="5"/>
          </w:tcPr>
          <w:p>
            <w:pPr>
              <w:spacing w:after="0"/>
              <w:rPr>
                <w:sz w:val="17"/>
                <w:szCs w:val="17"/>
                <w:color w:val="auto"/>
              </w:rPr>
            </w:pPr>
          </w:p>
        </w:tc>
        <w:tc>
          <w:tcPr>
            <w:tcW w:w="280" w:type="dxa"/>
            <w:vAlign w:val="bottom"/>
          </w:tcPr>
          <w:p>
            <w:pPr>
              <w:jc w:val="cente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8-K</w:t>
              </w:r>
            </w:hyperlink>
          </w:p>
        </w:tc>
        <w:tc>
          <w:tcPr>
            <w:tcW w:w="960" w:type="dxa"/>
            <w:vAlign w:val="bottom"/>
            <w:gridSpan w:val="3"/>
          </w:tcPr>
          <w:p>
            <w:pPr>
              <w:jc w:val="center"/>
              <w:ind w:left="450"/>
              <w:spacing w:after="0" w:line="196" w:lineRule="exact"/>
              <w:rPr>
                <w:rFonts w:ascii="Times New Roman" w:cs="Times New Roman" w:eastAsia="Times New Roman" w:hAnsi="Times New Roman"/>
                <w:sz w:val="18"/>
                <w:szCs w:val="18"/>
                <w:color w:val="0000EE"/>
                <w:w w:val="95"/>
              </w:rPr>
            </w:pPr>
            <w:hyperlink r:id="rId9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180" w:type="dxa"/>
            <w:vAlign w:val="bottom"/>
          </w:tcPr>
          <w:p>
            <w:pPr>
              <w:spacing w:after="0"/>
              <w:rPr>
                <w:sz w:val="17"/>
                <w:szCs w:val="17"/>
                <w:color w:val="auto"/>
              </w:rPr>
            </w:pPr>
          </w:p>
        </w:tc>
        <w:tc>
          <w:tcPr>
            <w:tcW w:w="920" w:type="dxa"/>
            <w:vAlign w:val="bottom"/>
            <w:gridSpan w:val="2"/>
          </w:tcPr>
          <w:p>
            <w:pPr>
              <w:jc w:val="center"/>
              <w:ind w:left="190"/>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1/3/2025</w:t>
              </w:r>
            </w:hyperlink>
          </w:p>
        </w:tc>
        <w:tc>
          <w:tcPr>
            <w:tcW w:w="1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40" w:type="dxa"/>
            <w:vAlign w:val="bottom"/>
            <w:gridSpan w:val="9"/>
          </w:tcPr>
          <w:p>
            <w:pPr>
              <w:jc w:val="center"/>
              <w:spacing w:after="0" w:line="196" w:lineRule="exact"/>
              <w:rPr>
                <w:rFonts w:ascii="Times New Roman" w:cs="Times New Roman" w:eastAsia="Times New Roman" w:hAnsi="Times New Roman"/>
                <w:sz w:val="18"/>
                <w:szCs w:val="18"/>
                <w:color w:val="0000EE"/>
                <w:w w:val="96"/>
              </w:rPr>
            </w:pPr>
            <w:hyperlink r:id="rId79">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12*</w:t>
              </w:r>
            </w:hyperlink>
          </w:p>
        </w:tc>
        <w:tc>
          <w:tcPr>
            <w:tcW w:w="28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Securities Purchase Agreement, dated October 16, 2025</w:t>
              </w:r>
            </w:hyperlink>
          </w:p>
        </w:tc>
        <w:tc>
          <w:tcPr>
            <w:tcW w:w="280" w:type="dxa"/>
            <w:vAlign w:val="bottom"/>
          </w:tcPr>
          <w:p>
            <w:pPr>
              <w:jc w:val="cente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8-K</w:t>
              </w:r>
            </w:hyperlink>
          </w:p>
        </w:tc>
        <w:tc>
          <w:tcPr>
            <w:tcW w:w="960" w:type="dxa"/>
            <w:vAlign w:val="bottom"/>
            <w:gridSpan w:val="3"/>
          </w:tcPr>
          <w:p>
            <w:pPr>
              <w:jc w:val="center"/>
              <w:ind w:left="450"/>
              <w:spacing w:after="0" w:line="196" w:lineRule="exact"/>
              <w:rPr>
                <w:rFonts w:ascii="Times New Roman" w:cs="Times New Roman" w:eastAsia="Times New Roman" w:hAnsi="Times New Roman"/>
                <w:sz w:val="18"/>
                <w:szCs w:val="18"/>
                <w:color w:val="0000FF"/>
                <w:w w:val="95"/>
              </w:rPr>
            </w:pPr>
            <w:hyperlink r:id="rId7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80" w:type="dxa"/>
            <w:vAlign w:val="bottom"/>
          </w:tcPr>
          <w:p>
            <w:pPr>
              <w:spacing w:after="0"/>
              <w:rPr>
                <w:sz w:val="17"/>
                <w:szCs w:val="17"/>
                <w:color w:val="auto"/>
              </w:rPr>
            </w:pPr>
          </w:p>
        </w:tc>
        <w:tc>
          <w:tcPr>
            <w:tcW w:w="1020" w:type="dxa"/>
            <w:vAlign w:val="bottom"/>
            <w:gridSpan w:val="3"/>
          </w:tcPr>
          <w:p>
            <w:pPr>
              <w:jc w:val="center"/>
              <w:ind w:left="110"/>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10/17/2025</w:t>
              </w:r>
            </w:hyperlink>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0" w:type="dxa"/>
            <w:vAlign w:val="bottom"/>
            <w:gridSpan w:val="2"/>
          </w:tcPr>
          <w:p>
            <w:pPr>
              <w:spacing w:after="0"/>
              <w:rPr>
                <w:sz w:val="17"/>
                <w:szCs w:val="17"/>
                <w:color w:val="auto"/>
              </w:rPr>
            </w:pPr>
          </w:p>
        </w:tc>
        <w:tc>
          <w:tcPr>
            <w:tcW w:w="480" w:type="dxa"/>
            <w:vAlign w:val="bottom"/>
            <w:gridSpan w:val="6"/>
          </w:tcPr>
          <w:p>
            <w:pPr>
              <w:jc w:val="center"/>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Severance Agreement, Consulting Agreement and General Release, by and between the Company</w:t>
              </w:r>
            </w:hyperlink>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and Brian Schaffner, dated October 16, 2025</w:t>
              </w:r>
            </w:hyperlink>
          </w:p>
        </w:tc>
        <w:tc>
          <w:tcPr>
            <w:tcW w:w="4000" w:type="dxa"/>
            <w:vAlign w:val="bottom"/>
            <w:tcBorders>
              <w:top w:val="single" w:sz="8" w:color="0000FF"/>
            </w:tcBorders>
            <w:gridSpan w:val="17"/>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cente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8-K</w:t>
              </w:r>
            </w:hyperlink>
          </w:p>
        </w:tc>
        <w:tc>
          <w:tcPr>
            <w:tcW w:w="960" w:type="dxa"/>
            <w:vAlign w:val="bottom"/>
            <w:gridSpan w:val="3"/>
          </w:tcPr>
          <w:p>
            <w:pPr>
              <w:jc w:val="center"/>
              <w:ind w:left="450"/>
              <w:spacing w:after="0" w:line="196" w:lineRule="exact"/>
              <w:rPr>
                <w:rFonts w:ascii="Times New Roman" w:cs="Times New Roman" w:eastAsia="Times New Roman" w:hAnsi="Times New Roman"/>
                <w:sz w:val="18"/>
                <w:szCs w:val="18"/>
                <w:color w:val="0000FF"/>
                <w:w w:val="95"/>
              </w:rPr>
            </w:pPr>
            <w:hyperlink r:id="rId9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80" w:type="dxa"/>
            <w:vAlign w:val="bottom"/>
          </w:tcPr>
          <w:p>
            <w:pPr>
              <w:spacing w:after="0"/>
              <w:rPr>
                <w:sz w:val="17"/>
                <w:szCs w:val="17"/>
                <w:color w:val="auto"/>
              </w:rPr>
            </w:pPr>
          </w:p>
        </w:tc>
        <w:tc>
          <w:tcPr>
            <w:tcW w:w="1020" w:type="dxa"/>
            <w:vAlign w:val="bottom"/>
            <w:gridSpan w:val="3"/>
          </w:tcPr>
          <w:p>
            <w:pPr>
              <w:jc w:val="center"/>
              <w:ind w:left="110"/>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10/17/2025</w:t>
              </w:r>
            </w:hyperlink>
          </w:p>
        </w:tc>
      </w:tr>
      <w:tr>
        <w:trPr>
          <w:trHeight w:val="20"/>
        </w:trPr>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580" w:type="dxa"/>
            <w:vAlign w:val="bottom"/>
            <w:gridSpan w:val="8"/>
          </w:tcPr>
          <w:p>
            <w:pPr>
              <w:jc w:val="center"/>
              <w:ind w:left="10"/>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Severance Agreement and General Release, by and between the Company and Paul Shoun, dated</w:t>
              </w:r>
            </w:hyperlink>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October 16, 2025</w:t>
              </w:r>
            </w:hyperlink>
          </w:p>
        </w:tc>
        <w:tc>
          <w:tcPr>
            <w:tcW w:w="420" w:type="dxa"/>
            <w:vAlign w:val="bottom"/>
            <w:gridSpan w:val="2"/>
          </w:tcPr>
          <w:p>
            <w:pPr>
              <w:spacing w:after="0"/>
              <w:rPr>
                <w:sz w:val="17"/>
                <w:szCs w:val="17"/>
                <w:color w:val="auto"/>
              </w:rPr>
            </w:pPr>
          </w:p>
        </w:tc>
        <w:tc>
          <w:tcPr>
            <w:tcW w:w="280" w:type="dxa"/>
            <w:vAlign w:val="bottom"/>
          </w:tcPr>
          <w:p>
            <w:pPr>
              <w:jc w:val="cente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8-K</w:t>
              </w:r>
            </w:hyperlink>
          </w:p>
        </w:tc>
        <w:tc>
          <w:tcPr>
            <w:tcW w:w="960" w:type="dxa"/>
            <w:vAlign w:val="bottom"/>
            <w:gridSpan w:val="3"/>
          </w:tcPr>
          <w:p>
            <w:pPr>
              <w:jc w:val="center"/>
              <w:ind w:left="450"/>
              <w:spacing w:after="0" w:line="196" w:lineRule="exact"/>
              <w:rPr>
                <w:rFonts w:ascii="Times New Roman" w:cs="Times New Roman" w:eastAsia="Times New Roman" w:hAnsi="Times New Roman"/>
                <w:sz w:val="18"/>
                <w:szCs w:val="18"/>
                <w:color w:val="0000FF"/>
                <w:w w:val="95"/>
              </w:rPr>
            </w:pPr>
            <w:hyperlink r:id="rId9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80" w:type="dxa"/>
            <w:vAlign w:val="bottom"/>
          </w:tcPr>
          <w:p>
            <w:pPr>
              <w:spacing w:after="0"/>
              <w:rPr>
                <w:sz w:val="17"/>
                <w:szCs w:val="17"/>
                <w:color w:val="auto"/>
              </w:rPr>
            </w:pPr>
          </w:p>
        </w:tc>
        <w:tc>
          <w:tcPr>
            <w:tcW w:w="1020" w:type="dxa"/>
            <w:vAlign w:val="bottom"/>
            <w:gridSpan w:val="3"/>
          </w:tcPr>
          <w:p>
            <w:pPr>
              <w:jc w:val="center"/>
              <w:ind w:left="110"/>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10/17/2025</w:t>
              </w:r>
            </w:hyperlink>
          </w:p>
        </w:tc>
      </w:tr>
      <w:tr>
        <w:trPr>
          <w:trHeight w:val="20"/>
        </w:trPr>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00" w:type="dxa"/>
            <w:vAlign w:val="bottom"/>
            <w:gridSpan w:val="8"/>
          </w:tcPr>
          <w:p>
            <w:pPr>
              <w:jc w:val="cente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28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Employment Agreement, by and between the Company and Joseph Hammer, October 16, 2025</w:t>
              </w:r>
            </w:hyperlink>
          </w:p>
        </w:tc>
        <w:tc>
          <w:tcPr>
            <w:tcW w:w="280" w:type="dxa"/>
            <w:vAlign w:val="bottom"/>
          </w:tcPr>
          <w:p>
            <w:pPr>
              <w:jc w:val="center"/>
              <w:spacing w:after="0" w:line="19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8-K</w:t>
              </w:r>
            </w:hyperlink>
          </w:p>
        </w:tc>
        <w:tc>
          <w:tcPr>
            <w:tcW w:w="960" w:type="dxa"/>
            <w:vAlign w:val="bottom"/>
            <w:gridSpan w:val="3"/>
          </w:tcPr>
          <w:p>
            <w:pPr>
              <w:jc w:val="center"/>
              <w:ind w:left="450"/>
              <w:spacing w:after="0" w:line="196" w:lineRule="exact"/>
              <w:rPr>
                <w:rFonts w:ascii="Times New Roman" w:cs="Times New Roman" w:eastAsia="Times New Roman" w:hAnsi="Times New Roman"/>
                <w:sz w:val="18"/>
                <w:szCs w:val="18"/>
                <w:color w:val="0000FF"/>
                <w:w w:val="95"/>
              </w:rPr>
            </w:pPr>
            <w:hyperlink r:id="rId9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80" w:type="dxa"/>
            <w:vAlign w:val="bottom"/>
          </w:tcPr>
          <w:p>
            <w:pPr>
              <w:spacing w:after="0"/>
              <w:rPr>
                <w:sz w:val="17"/>
                <w:szCs w:val="17"/>
                <w:color w:val="auto"/>
              </w:rPr>
            </w:pPr>
          </w:p>
        </w:tc>
        <w:tc>
          <w:tcPr>
            <w:tcW w:w="1020" w:type="dxa"/>
            <w:vAlign w:val="bottom"/>
            <w:gridSpan w:val="3"/>
          </w:tcPr>
          <w:p>
            <w:pPr>
              <w:jc w:val="center"/>
              <w:ind w:left="110"/>
              <w:spacing w:after="0" w:line="19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10/17/2025</w:t>
              </w:r>
            </w:hyperlink>
          </w:p>
        </w:tc>
      </w:tr>
      <w:tr>
        <w:trPr>
          <w:trHeight w:val="196"/>
        </w:trPr>
        <w:tc>
          <w:tcPr>
            <w:tcW w:w="40" w:type="dxa"/>
            <w:vAlign w:val="bottom"/>
          </w:tcPr>
          <w:p>
            <w:pPr>
              <w:spacing w:after="0"/>
              <w:rPr>
                <w:sz w:val="17"/>
                <w:szCs w:val="17"/>
                <w:color w:val="auto"/>
              </w:rPr>
            </w:pPr>
          </w:p>
        </w:tc>
        <w:tc>
          <w:tcPr>
            <w:tcW w:w="600" w:type="dxa"/>
            <w:vAlign w:val="bottom"/>
            <w:tcBorders>
              <w:top w:val="single" w:sz="8" w:color="0000EE"/>
            </w:tcBorders>
            <w:gridSpan w:val="8"/>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16†</w:t>
            </w:r>
          </w:p>
        </w:tc>
        <w:tc>
          <w:tcPr>
            <w:tcW w:w="280" w:type="dxa"/>
            <w:vAlign w:val="bottom"/>
          </w:tcPr>
          <w:p>
            <w:pPr>
              <w:spacing w:after="0"/>
              <w:rPr>
                <w:sz w:val="17"/>
                <w:szCs w:val="17"/>
                <w:color w:val="auto"/>
              </w:rPr>
            </w:pPr>
          </w:p>
        </w:tc>
        <w:tc>
          <w:tcPr>
            <w:tcW w:w="684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Form of Indemnification Agreement</w:t>
            </w:r>
          </w:p>
        </w:tc>
        <w:tc>
          <w:tcPr>
            <w:tcW w:w="780" w:type="dxa"/>
            <w:vAlign w:val="bottom"/>
            <w:gridSpan w:val="7"/>
          </w:tcPr>
          <w:p>
            <w:pPr>
              <w:spacing w:after="0"/>
              <w:rPr>
                <w:sz w:val="17"/>
                <w:szCs w:val="17"/>
                <w:color w:val="auto"/>
              </w:rPr>
            </w:pPr>
          </w:p>
        </w:tc>
        <w:tc>
          <w:tcPr>
            <w:tcW w:w="280" w:type="dxa"/>
            <w:vAlign w:val="bottom"/>
            <w:tcBorders>
              <w:top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640" w:type="dxa"/>
            <w:vAlign w:val="bottom"/>
          </w:tcPr>
          <w:p>
            <w:pPr>
              <w:spacing w:after="0"/>
              <w:rPr>
                <w:sz w:val="17"/>
                <w:szCs w:val="17"/>
                <w:color w:val="auto"/>
              </w:rPr>
            </w:pPr>
          </w:p>
        </w:tc>
        <w:tc>
          <w:tcPr>
            <w:tcW w:w="260" w:type="dxa"/>
            <w:vAlign w:val="bottom"/>
            <w:tcBorders>
              <w:top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100" w:type="dxa"/>
            <w:vAlign w:val="bottom"/>
            <w:tcBorders>
              <w:top w:val="single" w:sz="8" w:color="0000FF"/>
            </w:tcBorders>
          </w:tcPr>
          <w:p>
            <w:pPr>
              <w:spacing w:after="0"/>
              <w:rPr>
                <w:sz w:val="17"/>
                <w:szCs w:val="17"/>
                <w:color w:val="auto"/>
              </w:rPr>
            </w:pPr>
          </w:p>
        </w:tc>
      </w:tr>
      <w:tr>
        <w:trPr>
          <w:trHeight w:val="196"/>
        </w:trPr>
        <w:tc>
          <w:tcPr>
            <w:tcW w:w="100" w:type="dxa"/>
            <w:vAlign w:val="bottom"/>
            <w:gridSpan w:val="2"/>
          </w:tcPr>
          <w:p>
            <w:pPr>
              <w:spacing w:after="0"/>
              <w:rPr>
                <w:sz w:val="17"/>
                <w:szCs w:val="17"/>
                <w:color w:val="auto"/>
              </w:rPr>
            </w:pPr>
          </w:p>
        </w:tc>
        <w:tc>
          <w:tcPr>
            <w:tcW w:w="400" w:type="dxa"/>
            <w:vAlign w:val="bottom"/>
            <w:tcBorders>
              <w:top w:val="single" w:sz="8" w:color="0000EE"/>
            </w:tcBorders>
            <w:gridSpan w:val="4"/>
          </w:tcPr>
          <w:p>
            <w:pPr>
              <w:jc w:val="cente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Subsidiaries of the Company</w:t>
              </w:r>
            </w:hyperlink>
          </w:p>
        </w:tc>
        <w:tc>
          <w:tcPr>
            <w:tcW w:w="5000" w:type="dxa"/>
            <w:vAlign w:val="bottom"/>
            <w:gridSpan w:val="20"/>
          </w:tcPr>
          <w:p>
            <w:pPr>
              <w:spacing w:after="0"/>
              <w:rPr>
                <w:sz w:val="17"/>
                <w:szCs w:val="17"/>
                <w:color w:val="auto"/>
              </w:rPr>
            </w:pPr>
          </w:p>
        </w:tc>
        <w:tc>
          <w:tcPr>
            <w:tcW w:w="280" w:type="dxa"/>
            <w:vAlign w:val="bottom"/>
          </w:tcPr>
          <w:p>
            <w:pPr>
              <w:jc w:val="center"/>
              <w:spacing w:after="0" w:line="196" w:lineRule="exact"/>
              <w:rPr>
                <w:rFonts w:ascii="Times New Roman" w:cs="Times New Roman" w:eastAsia="Times New Roman" w:hAnsi="Times New Roman"/>
                <w:sz w:val="18"/>
                <w:szCs w:val="18"/>
                <w:color w:val="0000EE"/>
                <w:w w:val="86"/>
              </w:rPr>
            </w:pPr>
            <w:hyperlink r:id="rId95">
              <w:r>
                <w:rPr>
                  <w:rFonts w:ascii="Times New Roman" w:cs="Times New Roman" w:eastAsia="Times New Roman" w:hAnsi="Times New Roman"/>
                  <w:sz w:val="18"/>
                  <w:szCs w:val="18"/>
                  <w:color w:val="0000EE"/>
                  <w:w w:val="86"/>
                </w:rPr>
                <w:t>10-K</w:t>
              </w:r>
            </w:hyperlink>
          </w:p>
        </w:tc>
        <w:tc>
          <w:tcPr>
            <w:tcW w:w="960" w:type="dxa"/>
            <w:vAlign w:val="bottom"/>
            <w:gridSpan w:val="3"/>
          </w:tcPr>
          <w:p>
            <w:pPr>
              <w:jc w:val="center"/>
              <w:ind w:left="450"/>
              <w:spacing w:after="0" w:line="196" w:lineRule="exact"/>
              <w:rPr>
                <w:rFonts w:ascii="Times New Roman" w:cs="Times New Roman" w:eastAsia="Times New Roman" w:hAnsi="Times New Roman"/>
                <w:sz w:val="18"/>
                <w:szCs w:val="18"/>
                <w:color w:val="0000EE"/>
                <w:w w:val="95"/>
              </w:rPr>
            </w:pPr>
            <w:hyperlink r:id="rId95">
              <w:r>
                <w:rPr>
                  <w:rFonts w:ascii="Times New Roman" w:cs="Times New Roman" w:eastAsia="Times New Roman" w:hAnsi="Times New Roman"/>
                  <w:sz w:val="18"/>
                  <w:szCs w:val="18"/>
                  <w:color w:val="0000EE"/>
                  <w:w w:val="95"/>
                </w:rPr>
                <w:t>21.</w:t>
              </w:r>
              <w:r>
                <w:rPr>
                  <w:rFonts w:ascii="Times New Roman" w:cs="Times New Roman" w:eastAsia="Times New Roman" w:hAnsi="Times New Roman"/>
                  <w:sz w:val="18"/>
                  <w:szCs w:val="18"/>
                  <w:u w:val="single" w:color="auto"/>
                  <w:color w:val="0000EE"/>
                  <w:w w:val="95"/>
                </w:rPr>
                <w:t>1</w:t>
              </w:r>
            </w:hyperlink>
          </w:p>
        </w:tc>
        <w:tc>
          <w:tcPr>
            <w:tcW w:w="180" w:type="dxa"/>
            <w:vAlign w:val="bottom"/>
          </w:tcPr>
          <w:p>
            <w:pPr>
              <w:spacing w:after="0"/>
              <w:rPr>
                <w:sz w:val="17"/>
                <w:szCs w:val="17"/>
                <w:color w:val="auto"/>
              </w:rPr>
            </w:pPr>
          </w:p>
        </w:tc>
        <w:tc>
          <w:tcPr>
            <w:tcW w:w="1020" w:type="dxa"/>
            <w:vAlign w:val="bottom"/>
            <w:gridSpan w:val="3"/>
          </w:tcPr>
          <w:p>
            <w:pPr>
              <w:jc w:val="center"/>
              <w:ind w:left="110"/>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3/28/2024</w:t>
              </w:r>
            </w:hyperlink>
          </w:p>
        </w:tc>
      </w:tr>
      <w:tr>
        <w:trPr>
          <w:trHeight w:val="20"/>
        </w:trPr>
        <w:tc>
          <w:tcPr>
            <w:tcW w:w="200" w:type="dxa"/>
            <w:vAlign w:val="bottom"/>
            <w:gridSpan w:val="5"/>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196"/>
        </w:trPr>
        <w:tc>
          <w:tcPr>
            <w:tcW w:w="180" w:type="dxa"/>
            <w:vAlign w:val="bottom"/>
            <w:gridSpan w:val="4"/>
          </w:tcPr>
          <w:p>
            <w:pPr>
              <w:spacing w:after="0"/>
              <w:rPr>
                <w:sz w:val="17"/>
                <w:szCs w:val="17"/>
                <w:color w:val="auto"/>
              </w:rPr>
            </w:pPr>
          </w:p>
        </w:tc>
        <w:tc>
          <w:tcPr>
            <w:tcW w:w="32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Expion360 Inc. Insider Trading Policy</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900" w:type="dxa"/>
            <w:vAlign w:val="bottom"/>
            <w:gridSpan w:val="2"/>
          </w:tcPr>
          <w:p>
            <w:pPr>
              <w:jc w:val="center"/>
              <w:ind w:left="6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100" w:type="dxa"/>
            <w:vAlign w:val="bottom"/>
          </w:tcPr>
          <w:p>
            <w:pPr>
              <w:spacing w:after="0"/>
              <w:rPr>
                <w:sz w:val="17"/>
                <w:szCs w:val="17"/>
                <w:color w:val="auto"/>
              </w:rPr>
            </w:pPr>
          </w:p>
        </w:tc>
      </w:tr>
      <w:tr>
        <w:trPr>
          <w:trHeight w:val="196"/>
        </w:trPr>
        <w:tc>
          <w:tcPr>
            <w:tcW w:w="180" w:type="dxa"/>
            <w:vAlign w:val="bottom"/>
            <w:gridSpan w:val="4"/>
          </w:tcPr>
          <w:p>
            <w:pPr>
              <w:spacing w:after="0"/>
              <w:rPr>
                <w:sz w:val="17"/>
                <w:szCs w:val="17"/>
                <w:color w:val="auto"/>
              </w:rPr>
            </w:pPr>
          </w:p>
        </w:tc>
        <w:tc>
          <w:tcPr>
            <w:tcW w:w="320" w:type="dxa"/>
            <w:vAlign w:val="bottom"/>
            <w:tcBorders>
              <w:top w:val="single" w:sz="8" w:color="0000EE"/>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M&amp;K CPAS PLLC</w:t>
            </w:r>
          </w:p>
        </w:tc>
        <w:tc>
          <w:tcPr>
            <w:tcW w:w="540" w:type="dxa"/>
            <w:vAlign w:val="bottom"/>
            <w:tcBorders>
              <w:top w:val="single" w:sz="8" w:color="0000EE"/>
            </w:tcBorders>
            <w:gridSpan w:val="3"/>
          </w:tcPr>
          <w:p>
            <w:pPr>
              <w:spacing w:after="0"/>
              <w:rPr>
                <w:sz w:val="17"/>
                <w:szCs w:val="17"/>
                <w:color w:val="auto"/>
              </w:rPr>
            </w:pPr>
          </w:p>
        </w:tc>
        <w:tc>
          <w:tcPr>
            <w:tcW w:w="4860" w:type="dxa"/>
            <w:vAlign w:val="bottom"/>
            <w:gridSpan w:val="19"/>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900" w:type="dxa"/>
            <w:vAlign w:val="bottom"/>
            <w:gridSpan w:val="2"/>
          </w:tcPr>
          <w:p>
            <w:pPr>
              <w:jc w:val="center"/>
              <w:ind w:left="6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100" w:type="dxa"/>
            <w:vAlign w:val="bottom"/>
          </w:tcPr>
          <w:p>
            <w:pPr>
              <w:spacing w:after="0"/>
              <w:rPr>
                <w:sz w:val="17"/>
                <w:szCs w:val="17"/>
                <w:color w:val="auto"/>
              </w:rPr>
            </w:pPr>
          </w:p>
        </w:tc>
      </w:tr>
      <w:tr>
        <w:trPr>
          <w:trHeight w:val="196"/>
        </w:trPr>
        <w:tc>
          <w:tcPr>
            <w:tcW w:w="180" w:type="dxa"/>
            <w:vAlign w:val="bottom"/>
            <w:gridSpan w:val="4"/>
          </w:tcPr>
          <w:p>
            <w:pPr>
              <w:spacing w:after="0"/>
              <w:rPr>
                <w:sz w:val="17"/>
                <w:szCs w:val="17"/>
                <w:color w:val="auto"/>
              </w:rPr>
            </w:pPr>
          </w:p>
        </w:tc>
        <w:tc>
          <w:tcPr>
            <w:tcW w:w="320" w:type="dxa"/>
            <w:vAlign w:val="bottom"/>
            <w:tcBorders>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(reference is made to the signature page hereto)</w:t>
            </w:r>
          </w:p>
        </w:tc>
        <w:tc>
          <w:tcPr>
            <w:tcW w:w="2820" w:type="dxa"/>
            <w:vAlign w:val="bottom"/>
            <w:gridSpan w:val="12"/>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900" w:type="dxa"/>
            <w:vAlign w:val="bottom"/>
            <w:gridSpan w:val="2"/>
          </w:tcPr>
          <w:p>
            <w:pPr>
              <w:jc w:val="center"/>
              <w:ind w:left="6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100" w:type="dxa"/>
            <w:vAlign w:val="bottom"/>
          </w:tcPr>
          <w:p>
            <w:pPr>
              <w:spacing w:after="0"/>
              <w:rPr>
                <w:sz w:val="17"/>
                <w:szCs w:val="17"/>
                <w:color w:val="auto"/>
              </w:rPr>
            </w:pPr>
          </w:p>
        </w:tc>
      </w:tr>
      <w:tr>
        <w:trPr>
          <w:trHeight w:val="196"/>
        </w:trPr>
        <w:tc>
          <w:tcPr>
            <w:tcW w:w="500" w:type="dxa"/>
            <w:vAlign w:val="bottom"/>
            <w:gridSpan w:val="6"/>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 and 15d-14(a) under the</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Exchange Act, as adopted pursuant to Section 302 of the Sarbanes-Oxley Act of 2002</w:t>
            </w:r>
          </w:p>
        </w:tc>
        <w:tc>
          <w:tcPr>
            <w:tcW w:w="740" w:type="dxa"/>
            <w:vAlign w:val="bottom"/>
            <w:gridSpan w:val="6"/>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900" w:type="dxa"/>
            <w:vAlign w:val="bottom"/>
            <w:gridSpan w:val="2"/>
          </w:tcPr>
          <w:p>
            <w:pPr>
              <w:jc w:val="center"/>
              <w:ind w:left="6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100" w:type="dxa"/>
            <w:vAlign w:val="bottom"/>
          </w:tcPr>
          <w:p>
            <w:pPr>
              <w:spacing w:after="0"/>
              <w:rPr>
                <w:sz w:val="17"/>
                <w:szCs w:val="17"/>
                <w:color w:val="auto"/>
              </w:rPr>
            </w:pPr>
          </w:p>
        </w:tc>
      </w:tr>
      <w:tr>
        <w:trPr>
          <w:trHeight w:val="20"/>
        </w:trPr>
        <w:tc>
          <w:tcPr>
            <w:tcW w:w="5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0" w:type="dxa"/>
            <w:vAlign w:val="bottom"/>
            <w:gridSpan w:val="9"/>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0" w:type="dxa"/>
            <w:vAlign w:val="bottom"/>
            <w:gridSpan w:val="6"/>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 and 15d-14(a) under the</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Exchange Act, as adopted pursuant to Section 302 of the Sarbanes-Oxley Act of 2002</w:t>
            </w:r>
          </w:p>
        </w:tc>
        <w:tc>
          <w:tcPr>
            <w:tcW w:w="800" w:type="dxa"/>
            <w:vAlign w:val="bottom"/>
            <w:gridSpan w:val="8"/>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900" w:type="dxa"/>
            <w:vAlign w:val="bottom"/>
            <w:gridSpan w:val="2"/>
          </w:tcPr>
          <w:p>
            <w:pPr>
              <w:jc w:val="center"/>
              <w:ind w:left="6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100" w:type="dxa"/>
            <w:vAlign w:val="bottom"/>
          </w:tcPr>
          <w:p>
            <w:pPr>
              <w:spacing w:after="0"/>
              <w:rPr>
                <w:sz w:val="17"/>
                <w:szCs w:val="17"/>
                <w:color w:val="auto"/>
              </w:rPr>
            </w:pPr>
          </w:p>
        </w:tc>
      </w:tr>
      <w:tr>
        <w:trPr>
          <w:trHeight w:val="20"/>
        </w:trPr>
        <w:tc>
          <w:tcPr>
            <w:tcW w:w="5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0" w:type="dxa"/>
            <w:vAlign w:val="bottom"/>
            <w:gridSpan w:val="9"/>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gridSpan w:val="8"/>
          </w:tcPr>
          <w:p>
            <w:pPr>
              <w:jc w:val="center"/>
              <w:ind w:left="10"/>
              <w:spacing w:after="0" w:line="196" w:lineRule="exact"/>
              <w:rPr>
                <w:sz w:val="20"/>
                <w:szCs w:val="20"/>
                <w:color w:val="auto"/>
              </w:rPr>
            </w:pPr>
            <w:r>
              <w:rPr>
                <w:rFonts w:ascii="Times New Roman" w:cs="Times New Roman" w:eastAsia="Times New Roman" w:hAnsi="Times New Roman"/>
                <w:sz w:val="18"/>
                <w:szCs w:val="18"/>
                <w:color w:val="0000EE"/>
                <w:w w:val="98"/>
              </w:rPr>
              <w:t>32.</w:t>
            </w:r>
            <w:r>
              <w:rPr>
                <w:rFonts w:ascii="Times New Roman" w:cs="Times New Roman" w:eastAsia="Times New Roman" w:hAnsi="Times New Roman"/>
                <w:sz w:val="18"/>
                <w:szCs w:val="18"/>
                <w:u w:val="single" w:color="auto"/>
                <w:color w:val="0000EE"/>
                <w:w w:val="98"/>
              </w:rPr>
              <w:t>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2300" w:type="dxa"/>
            <w:vAlign w:val="bottom"/>
            <w:tcBorders>
              <w:top w:val="single" w:sz="8" w:color="0000EE"/>
            </w:tcBorders>
            <w:gridSpan w:val="4"/>
          </w:tcPr>
          <w:p>
            <w:pPr>
              <w:spacing w:after="0"/>
              <w:rPr>
                <w:sz w:val="17"/>
                <w:szCs w:val="17"/>
                <w:color w:val="auto"/>
              </w:rPr>
            </w:pPr>
          </w:p>
        </w:tc>
        <w:tc>
          <w:tcPr>
            <w:tcW w:w="1060" w:type="dxa"/>
            <w:vAlign w:val="bottom"/>
            <w:gridSpan w:val="10"/>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900" w:type="dxa"/>
            <w:vAlign w:val="bottom"/>
            <w:gridSpan w:val="2"/>
          </w:tcPr>
          <w:p>
            <w:pPr>
              <w:jc w:val="center"/>
              <w:ind w:left="6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100" w:type="dxa"/>
            <w:vAlign w:val="bottom"/>
          </w:tcPr>
          <w:p>
            <w:pPr>
              <w:spacing w:after="0"/>
              <w:rPr>
                <w:sz w:val="17"/>
                <w:szCs w:val="17"/>
                <w:color w:val="auto"/>
              </w:rPr>
            </w:pPr>
          </w:p>
        </w:tc>
      </w:tr>
      <w:tr>
        <w:trPr>
          <w:trHeight w:val="196"/>
        </w:trPr>
        <w:tc>
          <w:tcPr>
            <w:tcW w:w="580" w:type="dxa"/>
            <w:vAlign w:val="bottom"/>
            <w:gridSpan w:val="8"/>
          </w:tcPr>
          <w:p>
            <w:pPr>
              <w:jc w:val="center"/>
              <w:ind w:left="10"/>
              <w:spacing w:after="0" w:line="196" w:lineRule="exact"/>
              <w:rPr>
                <w:sz w:val="20"/>
                <w:szCs w:val="20"/>
                <w:color w:val="auto"/>
              </w:rPr>
            </w:pPr>
            <w:r>
              <w:rPr>
                <w:rFonts w:ascii="Times New Roman" w:cs="Times New Roman" w:eastAsia="Times New Roman" w:hAnsi="Times New Roman"/>
                <w:sz w:val="18"/>
                <w:szCs w:val="18"/>
                <w:color w:val="0000EE"/>
                <w:w w:val="98"/>
              </w:rPr>
              <w:t>32.</w:t>
            </w:r>
            <w:r>
              <w:rPr>
                <w:rFonts w:ascii="Times New Roman" w:cs="Times New Roman" w:eastAsia="Times New Roman" w:hAnsi="Times New Roman"/>
                <w:sz w:val="18"/>
                <w:szCs w:val="18"/>
                <w:u w:val="single" w:color="auto"/>
                <w:color w:val="0000EE"/>
                <w:w w:val="98"/>
              </w:rPr>
              <w:t>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906 of the Sarbanes-Oxley Act of 2002</w:t>
            </w:r>
          </w:p>
        </w:tc>
        <w:tc>
          <w:tcPr>
            <w:tcW w:w="3580" w:type="dxa"/>
            <w:vAlign w:val="bottom"/>
            <w:tcBorders>
              <w:top w:val="single" w:sz="8" w:color="0000EE"/>
            </w:tcBorders>
            <w:gridSpan w:val="13"/>
          </w:tcPr>
          <w:p>
            <w:pPr>
              <w:spacing w:after="0"/>
              <w:rPr>
                <w:sz w:val="17"/>
                <w:szCs w:val="17"/>
                <w:color w:val="auto"/>
              </w:rPr>
            </w:pPr>
          </w:p>
        </w:tc>
        <w:tc>
          <w:tcPr>
            <w:tcW w:w="440" w:type="dxa"/>
            <w:vAlign w:val="bottom"/>
            <w:gridSpan w:val="3"/>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900" w:type="dxa"/>
            <w:vAlign w:val="bottom"/>
            <w:gridSpan w:val="2"/>
          </w:tcPr>
          <w:p>
            <w:pPr>
              <w:jc w:val="center"/>
              <w:ind w:left="6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u w:val="single" w:color="auto"/>
                <w:color w:val="0000EE"/>
                <w:w w:val="99"/>
              </w:rPr>
              <w:t>-</w:t>
            </w:r>
          </w:p>
        </w:tc>
        <w:tc>
          <w:tcPr>
            <w:tcW w:w="100" w:type="dxa"/>
            <w:vAlign w:val="bottom"/>
          </w:tcPr>
          <w:p>
            <w:pPr>
              <w:spacing w:after="0"/>
              <w:rPr>
                <w:sz w:val="17"/>
                <w:szCs w:val="17"/>
                <w:color w:val="auto"/>
              </w:rPr>
            </w:pPr>
          </w:p>
        </w:tc>
      </w:tr>
      <w:tr>
        <w:trPr>
          <w:trHeight w:val="196"/>
        </w:trPr>
        <w:tc>
          <w:tcPr>
            <w:tcW w:w="500" w:type="dxa"/>
            <w:vAlign w:val="bottom"/>
            <w:gridSpan w:val="6"/>
          </w:tcPr>
          <w:p>
            <w:pPr>
              <w:jc w:val="center"/>
              <w:ind w:left="90"/>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97.</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Expion360 Inc. Executive Compensation Clawback Policy</w:t>
              </w:r>
            </w:hyperlink>
          </w:p>
        </w:tc>
        <w:tc>
          <w:tcPr>
            <w:tcW w:w="280" w:type="dxa"/>
            <w:vAlign w:val="bottom"/>
          </w:tcPr>
          <w:p>
            <w:pPr>
              <w:jc w:val="center"/>
              <w:spacing w:after="0" w:line="196" w:lineRule="exact"/>
              <w:rPr>
                <w:rFonts w:ascii="Times New Roman" w:cs="Times New Roman" w:eastAsia="Times New Roman" w:hAnsi="Times New Roman"/>
                <w:sz w:val="18"/>
                <w:szCs w:val="18"/>
                <w:color w:val="0000EE"/>
                <w:w w:val="86"/>
              </w:rPr>
            </w:pPr>
            <w:hyperlink r:id="rId96">
              <w:r>
                <w:rPr>
                  <w:rFonts w:ascii="Times New Roman" w:cs="Times New Roman" w:eastAsia="Times New Roman" w:hAnsi="Times New Roman"/>
                  <w:sz w:val="18"/>
                  <w:szCs w:val="18"/>
                  <w:color w:val="0000EE"/>
                  <w:w w:val="86"/>
                </w:rPr>
                <w:t>10-K</w:t>
              </w:r>
            </w:hyperlink>
          </w:p>
        </w:tc>
        <w:tc>
          <w:tcPr>
            <w:tcW w:w="1140" w:type="dxa"/>
            <w:vAlign w:val="bottom"/>
            <w:gridSpan w:val="4"/>
          </w:tcPr>
          <w:p>
            <w:pPr>
              <w:jc w:val="center"/>
              <w:ind w:left="370"/>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97.</w:t>
              </w:r>
              <w:r>
                <w:rPr>
                  <w:rFonts w:ascii="Times New Roman" w:cs="Times New Roman" w:eastAsia="Times New Roman" w:hAnsi="Times New Roman"/>
                  <w:sz w:val="18"/>
                  <w:szCs w:val="18"/>
                  <w:u w:val="single" w:color="auto"/>
                  <w:color w:val="0000EE"/>
                </w:rPr>
                <w:t>1</w:t>
              </w:r>
            </w:hyperlink>
          </w:p>
        </w:tc>
        <w:tc>
          <w:tcPr>
            <w:tcW w:w="1020" w:type="dxa"/>
            <w:vAlign w:val="bottom"/>
            <w:gridSpan w:val="3"/>
          </w:tcPr>
          <w:p>
            <w:pPr>
              <w:jc w:val="center"/>
              <w:ind w:left="210"/>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3/28/2024</w:t>
              </w:r>
            </w:hyperlink>
          </w:p>
        </w:tc>
      </w:tr>
      <w:tr>
        <w:trPr>
          <w:trHeight w:val="218"/>
        </w:trPr>
        <w:tc>
          <w:tcPr>
            <w:tcW w:w="92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101.INS</w:t>
            </w:r>
          </w:p>
        </w:tc>
        <w:tc>
          <w:tcPr>
            <w:tcW w:w="42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400" w:type="dxa"/>
            <w:vAlign w:val="bottom"/>
            <w:gridSpan w:val="15"/>
          </w:tcPr>
          <w:p>
            <w:pPr>
              <w:spacing w:after="0"/>
              <w:rPr>
                <w:sz w:val="18"/>
                <w:szCs w:val="18"/>
                <w:color w:val="auto"/>
              </w:rPr>
            </w:pPr>
          </w:p>
        </w:tc>
        <w:tc>
          <w:tcPr>
            <w:tcW w:w="28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8"/>
                <w:szCs w:val="18"/>
                <w:color w:val="auto"/>
              </w:rPr>
            </w:pPr>
          </w:p>
        </w:tc>
        <w:tc>
          <w:tcPr>
            <w:tcW w:w="26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top w:val="single" w:sz="8" w:color="0000EE"/>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0000EE"/>
            </w:tcBorders>
          </w:tcPr>
          <w:p>
            <w:pPr>
              <w:spacing w:after="0"/>
              <w:rPr>
                <w:sz w:val="18"/>
                <w:szCs w:val="18"/>
                <w:color w:val="auto"/>
              </w:rPr>
            </w:pPr>
          </w:p>
        </w:tc>
      </w:tr>
      <w:tr>
        <w:trPr>
          <w:trHeight w:val="216"/>
        </w:trPr>
        <w:tc>
          <w:tcPr>
            <w:tcW w:w="92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color w:val="auto"/>
              </w:rPr>
              <w:t>101.SCH</w:t>
            </w:r>
          </w:p>
        </w:tc>
        <w:tc>
          <w:tcPr>
            <w:tcW w:w="7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92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color w:val="auto"/>
              </w:rPr>
              <w:t>101.CAL</w:t>
            </w:r>
          </w:p>
        </w:tc>
        <w:tc>
          <w:tcPr>
            <w:tcW w:w="7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92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101.DEF</w:t>
            </w:r>
          </w:p>
        </w:tc>
        <w:tc>
          <w:tcPr>
            <w:tcW w:w="7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92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color w:val="auto"/>
              </w:rPr>
              <w:t>101.LAB</w:t>
            </w:r>
          </w:p>
        </w:tc>
        <w:tc>
          <w:tcPr>
            <w:tcW w:w="7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92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101.PRE</w:t>
            </w:r>
          </w:p>
        </w:tc>
        <w:tc>
          <w:tcPr>
            <w:tcW w:w="7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34"/>
        </w:trPr>
        <w:tc>
          <w:tcPr>
            <w:tcW w:w="500" w:type="dxa"/>
            <w:vAlign w:val="bottom"/>
            <w:gridSpan w:val="6"/>
          </w:tcPr>
          <w:p>
            <w:pPr>
              <w:jc w:val="center"/>
              <w:ind w:left="9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included in Exhibit 101).</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left="500" w:hanging="447"/>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rFonts w:ascii="Times New Roman" w:cs="Times New Roman" w:eastAsia="Times New Roman" w:hAnsi="Times New Roman"/>
          <w:sz w:val="18"/>
          <w:szCs w:val="18"/>
          <w:color w:val="auto"/>
        </w:rPr>
      </w:pPr>
    </w:p>
    <w:p>
      <w:pPr>
        <w:jc w:val="both"/>
        <w:ind w:left="720" w:hanging="658"/>
        <w:spacing w:after="0" w:line="250" w:lineRule="auto"/>
        <w:tabs>
          <w:tab w:leader="none" w:pos="7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shall not be deemed “filed” by the registrant for purposes of Section 18 of the Exchange Act, and shall not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1" w:lineRule="exact"/>
        <w:rPr>
          <w:sz w:val="20"/>
          <w:szCs w:val="20"/>
          <w:color w:val="auto"/>
        </w:rPr>
      </w:pPr>
    </w:p>
    <w:p>
      <w:pPr>
        <w:jc w:val="both"/>
        <w:ind w:left="720" w:hanging="658"/>
        <w:spacing w:after="0" w:line="253"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similar attachments) to this exhibit have been omitted in accordance with Item 601(a)(5) of Regulation S-K under the Securities Act because they do not contain information material to an investment decision and that information is not otherwise disclosed in the exhibit or the disclosure document. The registrant agrees to furnish a copy of all omitted schedules (or similar attachments) to the Commission upon its request.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Expion360 Inc.</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Joseph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Joseph Hammer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16,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Joseph Hammer and Shawna Bowin, and each of them, as his or her true and lawful attorneys-in-fact, proxies and agents, each with full power of substitution and resubstitution, for him or her and in his or her name, place and stead, in any and all capacities, to sign any and all amendments to this Annual Report on Form 10-K and to file the same, with any exhibits thereto and other documents in connection therewith, with the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6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5"/>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c>
          <w:tcPr>
            <w:tcW w:w="1800" w:type="dxa"/>
            <w:vAlign w:val="bottom"/>
          </w:tcPr>
          <w:p>
            <w:pPr>
              <w:spacing w:after="0"/>
              <w:rPr>
                <w:sz w:val="24"/>
                <w:szCs w:val="24"/>
                <w:color w:val="auto"/>
              </w:rPr>
            </w:pPr>
          </w:p>
        </w:tc>
      </w:tr>
      <w:tr>
        <w:trPr>
          <w:trHeight w:val="236"/>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Hammer</w:t>
            </w:r>
          </w:p>
        </w:tc>
        <w:tc>
          <w:tcPr>
            <w:tcW w:w="120" w:type="dxa"/>
            <w:vAlign w:val="bottom"/>
          </w:tcPr>
          <w:p>
            <w:pPr>
              <w:spacing w:after="0"/>
              <w:rPr>
                <w:sz w:val="20"/>
                <w:szCs w:val="20"/>
                <w:color w:val="auto"/>
              </w:rPr>
            </w:pPr>
          </w:p>
        </w:tc>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Hammer</w:t>
            </w:r>
          </w:p>
        </w:tc>
        <w:tc>
          <w:tcPr>
            <w:tcW w:w="1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93"/>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00" w:type="dxa"/>
            <w:vAlign w:val="bottom"/>
          </w:tcPr>
          <w:p>
            <w:pPr>
              <w:spacing w:after="0"/>
              <w:rPr>
                <w:sz w:val="24"/>
                <w:szCs w:val="24"/>
                <w:color w:val="auto"/>
              </w:rPr>
            </w:pPr>
          </w:p>
        </w:tc>
      </w:tr>
      <w:tr>
        <w:trPr>
          <w:trHeight w:val="236"/>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Shawna Bowin</w:t>
            </w:r>
          </w:p>
        </w:tc>
        <w:tc>
          <w:tcPr>
            <w:tcW w:w="120" w:type="dxa"/>
            <w:vAlign w:val="bottom"/>
          </w:tcPr>
          <w:p>
            <w:pPr>
              <w:spacing w:after="0"/>
              <w:rPr>
                <w:sz w:val="20"/>
                <w:szCs w:val="20"/>
                <w:color w:val="auto"/>
              </w:rPr>
            </w:pPr>
          </w:p>
        </w:tc>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Shawna Bowin</w:t>
            </w:r>
          </w:p>
        </w:tc>
        <w:tc>
          <w:tcPr>
            <w:tcW w:w="1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Burell</w:t>
            </w:r>
          </w:p>
        </w:tc>
        <w:tc>
          <w:tcPr>
            <w:tcW w:w="120" w:type="dxa"/>
            <w:vAlign w:val="bottom"/>
          </w:tcPr>
          <w:p>
            <w:pPr>
              <w:spacing w:after="0"/>
              <w:rPr>
                <w:sz w:val="24"/>
                <w:szCs w:val="24"/>
                <w:color w:val="auto"/>
              </w:rPr>
            </w:pPr>
          </w:p>
        </w:tc>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Burell</w:t>
            </w:r>
          </w:p>
        </w:tc>
        <w:tc>
          <w:tcPr>
            <w:tcW w:w="1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Lefevre</w:t>
            </w:r>
          </w:p>
        </w:tc>
        <w:tc>
          <w:tcPr>
            <w:tcW w:w="120" w:type="dxa"/>
            <w:vAlign w:val="bottom"/>
          </w:tcPr>
          <w:p>
            <w:pPr>
              <w:spacing w:after="0"/>
              <w:rPr>
                <w:sz w:val="24"/>
                <w:szCs w:val="24"/>
                <w:color w:val="auto"/>
              </w:rPr>
            </w:pPr>
          </w:p>
        </w:tc>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 Lefevre</w:t>
            </w:r>
          </w:p>
        </w:tc>
        <w:tc>
          <w:tcPr>
            <w:tcW w:w="1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Tien Q. Nguyen</w:t>
            </w:r>
          </w:p>
        </w:tc>
        <w:tc>
          <w:tcPr>
            <w:tcW w:w="120" w:type="dxa"/>
            <w:vAlign w:val="bottom"/>
          </w:tcPr>
          <w:p>
            <w:pPr>
              <w:spacing w:after="0"/>
              <w:rPr>
                <w:sz w:val="24"/>
                <w:szCs w:val="24"/>
                <w:color w:val="auto"/>
              </w:rPr>
            </w:pPr>
          </w:p>
        </w:tc>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Tien Q. Nguyen</w:t>
            </w:r>
          </w:p>
        </w:tc>
        <w:tc>
          <w:tcPr>
            <w:tcW w:w="1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Schaffner</w:t>
            </w:r>
          </w:p>
        </w:tc>
        <w:tc>
          <w:tcPr>
            <w:tcW w:w="120" w:type="dxa"/>
            <w:vAlign w:val="bottom"/>
          </w:tcPr>
          <w:p>
            <w:pPr>
              <w:spacing w:after="0"/>
              <w:rPr>
                <w:sz w:val="24"/>
                <w:szCs w:val="24"/>
                <w:color w:val="auto"/>
              </w:rPr>
            </w:pPr>
          </w:p>
        </w:tc>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Schaffner</w:t>
            </w:r>
          </w:p>
        </w:tc>
        <w:tc>
          <w:tcPr>
            <w:tcW w:w="1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M. Shum</w:t>
            </w:r>
          </w:p>
        </w:tc>
        <w:tc>
          <w:tcPr>
            <w:tcW w:w="120" w:type="dxa"/>
            <w:vAlign w:val="bottom"/>
          </w:tcPr>
          <w:p>
            <w:pPr>
              <w:spacing w:after="0"/>
              <w:rPr>
                <w:sz w:val="24"/>
                <w:szCs w:val="24"/>
                <w:color w:val="auto"/>
              </w:rPr>
            </w:pPr>
          </w:p>
        </w:tc>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M. Shum</w:t>
            </w:r>
          </w:p>
        </w:tc>
        <w:tc>
          <w:tcPr>
            <w:tcW w:w="1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569"/>
        </w:trPr>
        <w:tc>
          <w:tcPr>
            <w:tcW w:w="22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gridSpan w:val="2"/>
          </w:tcPr>
          <w:p>
            <w:pPr>
              <w:jc w:val="right"/>
              <w:ind w:right="35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FINANCIAL STATEMENTS</w:t>
            </w:r>
          </w:p>
        </w:tc>
        <w:tc>
          <w:tcPr>
            <w:tcW w:w="500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434"/>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 2738)</w:t>
            </w:r>
          </w:p>
        </w:tc>
        <w:tc>
          <w:tcPr>
            <w:tcW w:w="30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F-1</w:t>
            </w:r>
          </w:p>
        </w:tc>
      </w:tr>
      <w:tr>
        <w:trPr>
          <w:trHeight w:val="216"/>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 Sheets</w:t>
            </w:r>
          </w:p>
        </w:tc>
        <w:tc>
          <w:tcPr>
            <w:tcW w:w="30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Statements of Operations</w:t>
            </w:r>
          </w:p>
        </w:tc>
        <w:tc>
          <w:tcPr>
            <w:tcW w:w="30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Statements of Stockholders’ Equity (Deficit)</w:t>
            </w:r>
          </w:p>
        </w:tc>
        <w:tc>
          <w:tcPr>
            <w:tcW w:w="30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Statements of Cash Flows</w:t>
            </w:r>
          </w:p>
        </w:tc>
        <w:tc>
          <w:tcPr>
            <w:tcW w:w="30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F-6</w:t>
            </w:r>
          </w:p>
        </w:tc>
      </w:tr>
      <w:tr>
        <w:trPr>
          <w:trHeight w:val="234"/>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 to the Financial Statements</w:t>
            </w:r>
          </w:p>
        </w:tc>
        <w:tc>
          <w:tcPr>
            <w:tcW w:w="30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F-8</w:t>
            </w:r>
          </w:p>
        </w:tc>
      </w:tr>
      <w:tr>
        <w:trPr>
          <w:trHeight w:val="560"/>
        </w:trPr>
        <w:tc>
          <w:tcPr>
            <w:tcW w:w="8200" w:type="dxa"/>
            <w:vAlign w:val="bottom"/>
            <w:tcBorders>
              <w:bottom w:val="single" w:sz="8" w:color="auto"/>
            </w:tcBorders>
            <w:gridSpan w:val="2"/>
          </w:tcPr>
          <w:p>
            <w:pPr>
              <w:ind w:left="5520"/>
              <w:spacing w:after="0"/>
              <w:rPr>
                <w:sz w:val="20"/>
                <w:szCs w:val="20"/>
                <w:color w:val="auto"/>
              </w:rPr>
            </w:pPr>
            <w:r>
              <w:rPr>
                <w:rFonts w:ascii="Times New Roman" w:cs="Times New Roman" w:eastAsia="Times New Roman" w:hAnsi="Times New Roman"/>
                <w:sz w:val="18"/>
                <w:szCs w:val="18"/>
                <w:color w:val="auto"/>
              </w:rPr>
              <w:t>51</w:t>
            </w: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Expion360,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Expion360, Inc. (the Company) as of December 31, 2025 and 2024, and the related statements of operations, stockholders’ equity, and cash flows for each of the years in the two-year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suffered a net loss from operations and negative cash flows from operations, and has a net capital deficiency, each of which are factors that raise substantial doubt about its ability to continue as a going concern. Management’s plans to address these challenges are also described in Note 2.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factors such as the net loss for the year, negative cash flows from operations, and the net capital deficiency, the Company evaluated the need to include a going concern qualification in the financial statements. See discussion in Note 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management’s determination regarding the inclusion of a going concern qualification requires significant judgement given the fact that the Company uses management estimates of future revenues and expenses, as well as assumptions about future fundraising activity, which are not able to be substantiated.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evaluate the appropriateness of the going concern qualification, we examined and evaluated the financial information, including management’s plans to mitigate the going concern qualification, and management’s disclosure on going concern.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M&amp;K CPAS, PLLC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ind w:left="5040"/>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8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24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2,969,096</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547,565</w:t>
            </w:r>
          </w:p>
        </w:tc>
      </w:tr>
      <w:tr>
        <w:trPr>
          <w:trHeight w:val="216"/>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718,964</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613,022</w:t>
            </w:r>
          </w:p>
        </w:tc>
      </w:tr>
      <w:tr>
        <w:trPr>
          <w:trHeight w:val="216"/>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2,858,780</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4,831,461</w:t>
            </w:r>
          </w:p>
        </w:tc>
      </w:tr>
      <w:tr>
        <w:trPr>
          <w:trHeight w:val="216"/>
        </w:trPr>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Prepaid/in-transit inventory</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318,440</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1,612,686</w:t>
            </w:r>
          </w:p>
        </w:tc>
      </w:tr>
      <w:tr>
        <w:trPr>
          <w:trHeight w:val="229"/>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179,645</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236,461</w:t>
            </w:r>
          </w:p>
        </w:tc>
      </w:tr>
      <w:tr>
        <w:trPr>
          <w:trHeight w:val="21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7,044,925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7,841,195</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807,083</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914,081</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(478,861)</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(430,191)</w:t>
            </w:r>
          </w:p>
        </w:tc>
      </w:tr>
      <w:tr>
        <w:trPr>
          <w:trHeight w:val="21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328,222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483,890</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2"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Operating leases – right-of-use asset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Deposits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666,199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754,832</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32,016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27,471</w:t>
            </w:r>
          </w:p>
        </w:tc>
      </w:tr>
      <w:tr>
        <w:trPr>
          <w:trHeight w:val="209"/>
        </w:trPr>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698,215</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782,303</w:t>
            </w:r>
          </w:p>
        </w:tc>
      </w:tr>
      <w:tr>
        <w:trPr>
          <w:trHeight w:val="223"/>
        </w:trPr>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8,071,362</w:t>
            </w: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9,107,388</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-607695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-325120</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480" w:space="720"/>
            <w:col w:w="404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403,792</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338,091</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deposits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2,978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48,474</w:t>
            </w: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221,863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187,464</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337,246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256,153</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31,058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31,758</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Suspended liability</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4,985,948</w:t>
            </w:r>
          </w:p>
        </w:tc>
        <w:tc>
          <w:tcPr>
            <w:tcW w:w="80" w:type="dxa"/>
            <w:vAlign w:val="bottom"/>
            <w:shd w:val="clear" w:color="auto" w:fill="CCEEFF"/>
          </w:tcPr>
          <w:p>
            <w:pPr>
              <w:spacing w:after="0"/>
              <w:rPr>
                <w:sz w:val="19"/>
                <w:szCs w:val="19"/>
                <w:color w:val="auto"/>
              </w:rPr>
            </w:pPr>
          </w:p>
        </w:tc>
      </w:tr>
      <w:tr>
        <w:trPr>
          <w:trHeight w:val="21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996,937</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5,847,888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and discount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166,187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198,412</w:t>
            </w:r>
          </w:p>
        </w:tc>
        <w:tc>
          <w:tcPr>
            <w:tcW w:w="80" w:type="dxa"/>
            <w:vAlign w:val="bottom"/>
          </w:tcPr>
          <w:p>
            <w:pPr>
              <w:spacing w:after="0"/>
              <w:rPr>
                <w:sz w:val="18"/>
                <w:szCs w:val="18"/>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372,478</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542,764</w:t>
            </w:r>
          </w:p>
        </w:tc>
        <w:tc>
          <w:tcPr>
            <w:tcW w:w="80" w:type="dxa"/>
            <w:vAlign w:val="bottom"/>
            <w:shd w:val="clear" w:color="auto" w:fill="CCEEFF"/>
          </w:tcPr>
          <w:p>
            <w:pPr>
              <w:spacing w:after="0"/>
              <w:rPr>
                <w:sz w:val="19"/>
                <w:szCs w:val="19"/>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1,535,602</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6,589,064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$.001; 20,000,000 shares authorized; zero shares issued and</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200,000,000 shares authorized; 9,781,739 and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2,096,082 issued and outstanding as of December 31, 2025 and 2024, respectively</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9,782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tcPr>
          <w:p>
            <w:pPr>
              <w:spacing w:after="0"/>
              <w:rPr>
                <w:sz w:val="20"/>
                <w:szCs w:val="20"/>
                <w:color w:val="auto"/>
              </w:rPr>
            </w:pPr>
          </w:p>
        </w:tc>
      </w:tr>
      <w:tr>
        <w:trPr>
          <w:trHeight w:val="216"/>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47,336,405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37,091,468</w:t>
            </w:r>
          </w:p>
        </w:tc>
      </w:tr>
      <w:tr>
        <w:trPr>
          <w:trHeight w:val="229"/>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(40,810,427)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(34,575,240)</w:t>
            </w:r>
          </w:p>
        </w:tc>
      </w:tr>
      <w:tr>
        <w:trPr>
          <w:trHeight w:val="210"/>
        </w:trPr>
        <w:tc>
          <w:tcPr>
            <w:tcW w:w="6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6,535,760</w:t>
            </w:r>
          </w:p>
        </w:tc>
        <w:tc>
          <w:tcPr>
            <w:tcW w:w="10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2,518,324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8,071,362</w:t>
            </w: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9,107,388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56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9,651,870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5,624,939</w:t>
            </w: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8,314,472</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4,469,711</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1,337,398</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12,040,903</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7,909,219</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(10,703,505)</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(6,753,991)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(86,121)</w:t>
            </w:r>
          </w:p>
        </w:tc>
      </w:tr>
      <w:tr>
        <w:trPr>
          <w:trHeight w:val="216"/>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20,226</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976,618</w:t>
            </w: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13,353</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146,760</w:t>
            </w:r>
          </w:p>
        </w:tc>
      </w:tr>
      <w:tr>
        <w:trPr>
          <w:trHeight w:val="216"/>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expense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709,900</w:t>
            </w: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Suspended liability expense / (income)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(4,485,948)</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4,985,948</w:t>
            </w: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 expense</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r>
      <w:tr>
        <w:trPr>
          <w:trHeight w:val="209"/>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 expense</w:t>
            </w:r>
          </w:p>
        </w:tc>
        <w:tc>
          <w:tcPr>
            <w:tcW w:w="15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(4,468,468</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6,727,032</w:t>
            </w:r>
          </w:p>
        </w:tc>
        <w:tc>
          <w:tcPr>
            <w:tcW w:w="100" w:type="dxa"/>
            <w:vAlign w:val="bottom"/>
            <w:tcBorders>
              <w:bottom w:val="single" w:sz="8" w:color="CCEEFF"/>
            </w:tcBorders>
          </w:tcPr>
          <w:p>
            <w:pPr>
              <w:spacing w:after="0"/>
              <w:rPr>
                <w:sz w:val="18"/>
                <w:szCs w:val="18"/>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(6,235,037)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(13,481,023)</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(income) / expense</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150</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63"/>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(6,235,187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(13,479,475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6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197"/>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5,511,875</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641,011</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194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69,230</w:t>
            </w:r>
          </w:p>
        </w:tc>
        <w:tc>
          <w:tcPr>
            <w:tcW w:w="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26,445,378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(21,095,765</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5,349,682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Stock issued for ELOC</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4,336</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828,487</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828,491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received from cashless exercise of 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received from cash exercise of warrants</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issued for interest payment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90,839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90,839</w:t>
            </w: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stock options</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464,328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464,328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RSUs</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141,417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141,417</w:t>
            </w: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vested RSUs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46,889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 of commitment shares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issued as a result of litigation settlement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208,999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209,000</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shares and pre-funded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costs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8,681,190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8,681,690</w:t>
            </w: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exercise of Series A warrants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77,555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77,570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exercise of Series B 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1,294,367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107,871</w:t>
            </w:r>
          </w:p>
        </w:tc>
        <w:tc>
          <w:tcPr>
            <w:tcW w:w="0" w:type="dxa"/>
            <w:vAlign w:val="bottom"/>
          </w:tcPr>
          <w:p>
            <w:pPr>
              <w:spacing w:after="0"/>
              <w:rPr>
                <w:sz w:val="1"/>
                <w:szCs w:val="1"/>
                <w:color w:val="auto"/>
              </w:rPr>
            </w:pPr>
          </w:p>
        </w:tc>
      </w:tr>
      <w:tr>
        <w:trPr>
          <w:trHeight w:val="198"/>
        </w:trPr>
        <w:tc>
          <w:tcPr>
            <w:tcW w:w="4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Shares issued for true-up upon completion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Reverse Stock Split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210,659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(13,479,475)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(13,479,475)</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8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2,096,082</w:t>
            </w:r>
          </w:p>
        </w:tc>
        <w:tc>
          <w:tcPr>
            <w:tcW w:w="160" w:type="dxa"/>
            <w:vAlign w:val="bottom"/>
          </w:tcPr>
          <w:p>
            <w:pPr>
              <w:spacing w:after="0"/>
              <w:rPr>
                <w:sz w:val="24"/>
                <w:szCs w:val="24"/>
                <w:color w:val="auto"/>
              </w:rPr>
            </w:pP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37,091,468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(34,575,240</w:t>
            </w:r>
          </w:p>
        </w:tc>
        <w:tc>
          <w:tcPr>
            <w:tcW w:w="180" w:type="dxa"/>
            <w:vAlign w:val="bottom"/>
            <w:vMerge w:val="continue"/>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2,518,324</w:t>
            </w:r>
          </w:p>
        </w:tc>
        <w:tc>
          <w:tcPr>
            <w:tcW w:w="0" w:type="dxa"/>
            <w:vAlign w:val="bottom"/>
          </w:tcPr>
          <w:p>
            <w:pPr>
              <w:spacing w:after="0"/>
              <w:rPr>
                <w:sz w:val="1"/>
                <w:szCs w:val="1"/>
                <w:color w:val="auto"/>
              </w:rPr>
            </w:pPr>
          </w:p>
        </w:tc>
      </w:tr>
      <w:tr>
        <w:trPr>
          <w:trHeight w:val="151"/>
        </w:trPr>
        <w:tc>
          <w:tcPr>
            <w:tcW w:w="4180" w:type="dxa"/>
            <w:vAlign w:val="bottom"/>
            <w:tcBorders>
              <w:top w:val="single" w:sz="8" w:color="CCEEFF"/>
            </w:tcBorders>
            <w:shd w:val="clear" w:color="auto" w:fill="CCEEFF"/>
          </w:tcPr>
          <w:p>
            <w:pPr>
              <w:ind w:left="100"/>
              <w:spacing w:after="0" w:line="151" w:lineRule="exact"/>
              <w:rPr>
                <w:sz w:val="20"/>
                <w:szCs w:val="20"/>
                <w:color w:val="auto"/>
              </w:rPr>
            </w:pPr>
            <w:r>
              <w:rPr>
                <w:rFonts w:ascii="Times New Roman" w:cs="Times New Roman" w:eastAsia="Times New Roman" w:hAnsi="Times New Roman"/>
                <w:sz w:val="17"/>
                <w:szCs w:val="17"/>
                <w:color w:val="auto"/>
              </w:rPr>
              <w:t>Proceeds received from cash exercise of Series A</w:t>
            </w: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4,384,749</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4,927,430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4,931,816</w:t>
            </w:r>
          </w:p>
        </w:tc>
        <w:tc>
          <w:tcPr>
            <w:tcW w:w="0" w:type="dxa"/>
            <w:vAlign w:val="bottom"/>
          </w:tcPr>
          <w:p>
            <w:pPr>
              <w:spacing w:after="0"/>
              <w:rPr>
                <w:sz w:val="1"/>
                <w:szCs w:val="1"/>
                <w:color w:val="auto"/>
              </w:rPr>
            </w:pPr>
          </w:p>
        </w:tc>
      </w:tr>
      <w:tr>
        <w:trPr>
          <w:trHeight w:val="198"/>
        </w:trPr>
        <w:tc>
          <w:tcPr>
            <w:tcW w:w="4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Proceeds received from cash exercise of Series B</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85,252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Proceeds received from cash exercise of January</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 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599,193</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784,344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784,943</w:t>
            </w:r>
          </w:p>
        </w:tc>
        <w:tc>
          <w:tcPr>
            <w:tcW w:w="0" w:type="dxa"/>
            <w:vAlign w:val="bottom"/>
          </w:tcPr>
          <w:p>
            <w:pPr>
              <w:spacing w:after="0"/>
              <w:rPr>
                <w:sz w:val="1"/>
                <w:szCs w:val="1"/>
                <w:color w:val="auto"/>
              </w:rPr>
            </w:pPr>
          </w:p>
        </w:tc>
      </w:tr>
      <w:tr>
        <w:trPr>
          <w:trHeight w:val="198"/>
        </w:trPr>
        <w:tc>
          <w:tcPr>
            <w:tcW w:w="4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shares and pre-funded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cost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1,661,463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2,872,524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2,874,185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stock options</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482,804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482,804</w:t>
            </w: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and settlement of RSUs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505,000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680,345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680,850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shares in exchange for services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489,050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489,500</w:t>
            </w:r>
          </w:p>
        </w:tc>
        <w:tc>
          <w:tcPr>
            <w:tcW w:w="0" w:type="dxa"/>
            <w:vAlign w:val="bottom"/>
          </w:tcPr>
          <w:p>
            <w:pPr>
              <w:spacing w:after="0"/>
              <w:rPr>
                <w:sz w:val="1"/>
                <w:szCs w:val="1"/>
                <w:color w:val="auto"/>
              </w:rPr>
            </w:pPr>
          </w:p>
        </w:tc>
      </w:tr>
      <w:tr>
        <w:trPr>
          <w:trHeight w:val="229"/>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(6,235,187)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(6,235,187)</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9,781,739</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47,336,405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(40,810,427</w:t>
            </w:r>
          </w:p>
        </w:tc>
        <w:tc>
          <w:tcPr>
            <w:tcW w:w="180" w:type="dxa"/>
            <w:vAlign w:val="bottom"/>
            <w:vMerge w:val="continue"/>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6,535,760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67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(6,235,187)</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(13,479,475)</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116,645</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173,973</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convertible note costs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667,144</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13,353</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146,760</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settlement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209,000</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1,163,654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616,632</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exchange for services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489,500</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expense in exchange for asset disposal</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21,420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inventory valuation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903,717</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right-of-use assets and lease liabilities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(67,778)</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suspended liability</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(4,485,948)</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4,985,948</w:t>
            </w:r>
          </w:p>
        </w:tc>
      </w:tr>
      <w:tr>
        <w:trPr>
          <w:trHeight w:val="216"/>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(105,942)</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(458,087)</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inventory</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1,068,964</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(1,006,071)</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 Decrease in prepaid/in-transit inventory</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1,294,246</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(1,448,738)</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prepaid expenses and other current assets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56,816</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(47,043)</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 Decrease in deposits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(4,545)</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31,425</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65,701</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51,106</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 (Decrease) in customer deposits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(45,496)</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31,051</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accrued expenses and other current liabilities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34,399</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21,819</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 (Decrease) in right-of-use assets and lease liabilities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9,789</w:t>
            </w: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suspended liability</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(6,149,263)</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(9,562,545)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(19,203)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sale of property and equipment</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132,611</w:t>
            </w: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113,408</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convertible note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(2,750,000)</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(32,925)</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(119,111)</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stockholder promissory notes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(762,500)</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exercise of warrants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5,725,284</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185,434</w:t>
            </w: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2,874,185</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9,510,181</w:t>
            </w: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8,566,544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6,064,004</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beginning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ending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2,421,531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(3,385,133)</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547,565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3,932,698</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2,969,096</w:t>
            </w: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547,565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-325120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040"/>
          </w:cols>
          <w:pgMar w:left="320" w:top="576" w:right="339" w:bottom="1440" w:gutter="0" w:footer="0" w:header="0"/>
          <w:type w:val="continuous"/>
        </w:sectPr>
      </w:pPr>
    </w:p>
    <w:p>
      <w:pPr>
        <w:spacing w:after="0" w:line="1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57" w:name="page58"/>
    <w:bookmarkEnd w:id="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 -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vMerge w:val="continue"/>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20,894</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220,714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paid / (received) for franchise taxes</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Acquisition/modification of operating lease right-of-use asset and lease liability</w:t>
            </w:r>
          </w:p>
        </w:tc>
        <w:tc>
          <w:tcPr>
            <w:tcW w:w="10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198,216</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payment on accrued interest</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90,839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payment on accrued compensation</w:t>
            </w:r>
          </w:p>
        </w:tc>
        <w:tc>
          <w:tcPr>
            <w:tcW w:w="10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36,029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1.</w:t>
        <w:tab/>
        <w:t>Organization and Nature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Expion360 Inc. (the “Company”) was incorporated in the State of Nevada in November 2021. Effective November 1, 2021, the Company converted to a C corporation. The Company was originally formed as a limited liability company in the State of Oregon in June 2016.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designs, assembles, manufactures, and sells lithium iron phosphate (“LiFePO4”) batteries and supporting accessories for recreational vehicles (“RVs”), marine, and industrial applications. The Company’s lithium battery solutions incorporate innovative concepts and have been designed to include some of the most dense and minimal-footprint batteries in the RV and marine industries. The Company’s customers consist of dealers, wholesalers, private-label customers, and original equipment manufacturers (“OEMs”) who then sell its products to end consumers. The Company currently operates in one reportable business segment, Energy Storage (ES).</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2.</w:t>
        <w:tab/>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and accompanying notes have been prepared by the Company in accordance with accounting principles generally accepted in the United States of America (“U.S. GAAP”).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 of Prior Year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current year presentation. These reclassifications had no effect on the reported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that it may be unable to secure additional funding before it achieves profitability or positive cash flow from operations. The Company expects to continue to incur operating losses for the foreseeable future, and will need to raise additional debt or equity financing to fund working capital, purchase inventory, expand its presence in the marketplace, develop new products, achieve operating efficiencies, and accomplish its long-term business plan. There can be no assurance that additional financing will be available on acceptable terms or at all.</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Historically, the Company’s operations have been funded through a combination of sales of equity securities, and issuances of third party debt and working capital loans. As presented in the accompanying financial statements, the Company has sustained recurring losses and negative cash flows from operations and has a significant negative stockholders’ equity balance. The Company incurred net losses of $6.2 million and $13.5 million for the years ended December 31, 2025 and 2024, respectively. The Company had negative flows from operating activities of $6.1 million and $9.6 million for the years ended December 31, 2025 and 2024, respectively. In addition, the Company had accumulated deficits of $40.8 million and $34.6 million as of December 31, 2025 and 2024, respectively. The Company has never achieved profitability or positive cash flows from operations, and may not be able to do so for the foreseeable future. These factors raise substantial doubt about the Company’s ability to continue as a going concern within twelve months after the date that the financial statements for the year ended December 31, 2025 are issued. However, management is working to address its operational and liquidity challenges, including raising additional capital, managing inventory levels, identifying alternative supply chain resources, and managing operational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which contemplates the realization of assets and the settlement of liabilities and commitments in the normal course of business; however, the above conditions raise substantial doubt about the Company’s ability to do so.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Company’s significant accounting estimates include the carrying value of inventory, the depreciable lives of fixed assets, operating lease assets and liabilities, and stock-based compensation and warrant valuation. Management evaluates its estimates and assumptions on an ongoing basis using historical experience, existing and known circumstances, authoritative accounting guidance, and other factors management believes to be reasonable and makes adjustments when facts and circumstances dictate. These estimates are based on information available as of the date of the financial statements. Actual results could differ from these estimates, which may result in material effects on the Company’s financial condition, results of operations and liquidity. To the extent there are differences between these estimates and actual results, the Company’s financial statements may be materially impacted.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Inventory is stated at the lower of cost (first in, first out) or net realizable value and consists of batteries and accessories, resale items, components, and related landing costs. As of December 31, 2025 and 2024, the Company had inventory that consisted of finished assemblies totaling $2,269,267 and $4,077,013, respectively, and raw materials (inventory components, parts, and packaging) totaling $589,513 and $754,448, respectively. The valuation of inventory includes fixed production overhead costs based on normal capacity of the assembly warehouse.</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periodically reviews its inventory for evidence of slow-moving or obsolete inventory and provides for an allowance when considered necessary. In 2025, the Company wrote off and wrote down $919,730 in obsolete inventory. A portion of the obsolete inventory was sold for scrap or recycled, and a portion has been retained to use in marketing promotions and was either written down to its estimated net realizable value or written off completely. The value of obsolete inventory that remains on the Balance Sheet as of December 31, 2025 is $547,294.</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prepays for inventory purchases from foreign suppliers. Prepaid inventory totaled $318,440 and $1,612,686 at December 31, 2025 and 2024, respectively, and included inventory in transit where title had passed to the Company but had not yet been physically received.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and Foreign Concentrations of Inventory Suppliers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and 2024, approximately 55% and 82%, respectively, of inventory purchases were made from foreign suppliers in Asia. Any adverse change in either the economic or political conditions abroad could negatively impact the Company’s supply chain. The inability to obtain product to meet sales demand could adversely affect the Company’s results of operations. However, the Company has secured a secondary source for lithium iron phosphate cells used in its batteries from a supplier in Europe, enabling the Company to source materials outside of Asia in the event it becomes necessary to do 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Company considers all cash amounts which are not subject to withdrawal restrictions or penalties, and all highly liquid investments purchased with an original maturity of three months or less from the date of purchase to be cash equivalents. The Company maintains its cash and cash equivalents balances with high-quality financial institutions located in the United States. Cash accounts are secured by the Federal Deposit Insurance Corporation (“FDIC”) up to $250,000 per institution. At times, balances may exceed federally insured limits. The Company has not experienced any losses in such accounts and management believes that the Company is not exposed to any significant credit risk with respect to its cash and cash equivalents balances. As of December 31, 2025, the Company had investment accounts with a balance of $1,516,145 that was invested in U.S. treasury securities.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revenue is generated from the sale of products consisting primarily of batteries and accessories. The Company recognizes revenue when control of goods is transferred to its customers in an amount that reflects the consideration it is expected to be entitled to in exchange for those goods or services. To determine 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performance obligation(s) are satisfied. Revenue is recognized upon shipment or delivery to the customer, as that is when the customer obtains control of the promised goods and the Company’s performance obligation is considered satisfied. As such, accounts receivable is recorded at the time of shipment or will call, when the Company’s right to the consideration becomes unconditional and the Company determines there are no uncertainties regarding payment terms or transfer of control.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due within a year or less, and generally do not bear any interest. The Company performs ongoing credit evaluations of its customers and generally requires no collateral. An allowance for uncollectible accounts is recorded to reduce accounts receivable to the estimated amount that will be collected. The allowance is based upon management’s review of the accounts receivable aging and specific identification of potentially uncollectible balances. Recoveries of accounts previously written off and adjustments to the allowance for uncollectible accounts are recorded as adjustments to bad debt expense. There were no allowances for doubtful accounts as of December 31, 2025 or December 31, 2024, as management believed all outstanding amounts to be fully collectible.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Major Customers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customer is considered a major customer when net revenue attributable to the customer exceeds 10% of total revenue for the period or the outstanding accounts receivable balance exceeds 10% of total accounts receivable balances.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sales to four customers totaled $5,795,965, or approximately 60% of our total sales, and represented 69% of our outstanding accounts receivable at December 31, 2025. During the year ended December 31, 2024, sales to one customer totaled $726,292, or approximately 14% of our total sales and represented approximately 6% of our outstanding accounts receivable at December 31, 2024. Four other customers had accounts receivable balances totaling $339,111, representing 60% of total accounts receivable as of December 31, 2024. Sales to each of our other customers did not exceed 10% during the respective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had customer deposits totaling $2,978 and $48,474,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Contractual arrangements that meet the definition of a lease are classified as an operating lease or finance lease at inception. The Company does not have any finance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right-of-use (“ROU”) assets represent the Company’s right to use an underlying asset during the lease term, and operating lease liabilities represent the Company’s obligation to make lease payments arising from the lease. Operating leases are included in ROU assets, current operating lease liabilities, and long-term operating lease liabilities on the Balance Sheets.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 ROU assets and lease liabilities are initially recognized based on the present value of the future minimum lease payments over the lease term at commencement date calculated using the Company’s incremental borrowing rate (“IBR”) applicable to the lease asset. As the implicit rates for the Company's operating leases are generally not determinable, the Company uses an IBR based on the information available at the respective lease commencement dates to determine the present value of future payments. IBR represents the interest rate that the Company would expect to incur at lease commencement to borrow an amount equal to the lease payments on a collateralized basis with similar terms and payments, in an economic environment where the leased asset is located.</w:t>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ROU assets also include any lease payments made at or before lease commencement and exclude any lease incentives received. The Company’s lease terms may include options to extend or terminate the lease when it is reasonably certain that the Company will exercise that option. Leases with a term of 12 months or less are not recognized on the Balance Sheets. The Company’s leases do not contain any residual value guarantees. Lease expense for minimum lease payments is recognized on a straight-line basis over the lease 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lease and non-lease components as a single lease component for all of its leases.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depreciation calculated on the straight-line basis over the estimated useful lives of the related assets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2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43"/>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43"/>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43"/>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43"/>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QA equipment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43"/>
        </w:trPr>
        <w:tc>
          <w:tcPr>
            <w:tcW w:w="5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Tooling and molds</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their estimated useful lives.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Betterments, renewals, and extraordinary repairs that extend the lives of the assets are capitalized; other repairs and maintenance charges are expensed as incurred. The cost and related accumulated depreciation and amortization applicable to assets retired are removed from the accounts, and the gain or loss on disposition is recognized in the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When events or circumstances indicate the carrying value of a long-lived asset may be impaired, the Company estimates the future undiscounted cash flows to be derived from the use and eventual disposition of the asset to assess whether or not a potential impairment exists. If the carrying value exceeds the estimate of future undiscounted cash flows, the impairment is calculated as the excess of the carrying value of the asset over the estimate of its fair value. Fair value is determined primarily using the estimated cash flows discounted at a rate commensurate with the risk involved. No long-lived asset impairment was recognized during the years ended December 31, 2025 or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the majority of its products to customers along with conditional repair or replacement warranties. The Company’s branded products carry warranties ranging from one year to up to twelve years from the date of sale, depending on the specific product. The Company determines its estimated liability for warranty claims based on the Company’s experience with respect to the number and value of warranty claims actually made. Historically, there have been very few claims and the costs associated with those claims have been nominal. Accordingly, management estimated no liabilities associated with warranty claims as of December 31.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for Refunds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 formal return policy but does accept returns under its warranty policies. Returns have historically been minimal. Revenue is recorded net of returns. Any returns of discontinued product are not added back to inventory and therefore related costs are nominal and not recorded as an asset. No refund liability was recognized in the years ended December 31, 2025 and 2024.</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Shipping and handling fees billed to customers totaled $49,386 and $99,201 for the years ended December 31, 2025 and 2024, respectively, and are included in net sales on the Statement of Operations. Shipping and handling costs for shipping product to customers totaled $357,484 and $260,946 for the years ended December 31, 2025 and 2024, respectively, and are included in selling, general and administrative expense on the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 Costs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and marketing costs as incurred. Advertising and marketing expense totaled $1,001,730 and $926,430 for the years ended December 31, 2025 and 2024, respectively, and are included in selling, general and administrative expense on the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Research and development activities primarily consist of product design and engineering, battery cell evaluation and testing, prototype development, performance validation, certification and compliance testing, and enhancements to existing battery systems and related technologies. Research and development costs are expensed as incurred. Research and development costs charged to expense amounted to $558,882 and $295,292 for the years ended December 31, 2025 and 2024, respectively, and are included in selling, general and administrative expenses on the Statements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this method, deferred tax assets and liabilities are recognized for the future tax consequences attributable to differences between the financial statement carrying amounts of exiting assets and liabilities and their respective tax basis. Deferred tax assets, including tax loss and credit carryforwards,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its financial assets and liabilities in accordance with ASC Topic 820, Fair Value Measurement. ASC Topic 820 establishes a fair value hierarchy that prioritizes the inputs to valuation techniques used to measure fair value, as follows: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 that are accessible at the measurement date. The fair value hierarchy gives the highest priority to Level 1 inputs.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 These inputs include quoted prices for similar assets or liabilities; quoted market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Determining fair value requires that we utilize valuation techniques that maximize the use of observable inputs and minimize the use of unobservable inputs to the extent possible, as well as consider counterparty credit risk in the assessment of fair value. The fair value hierarchy gives the lowest priority to Level 3 inputs.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accounts receivable, accounts payable, and long-term debt. The fair value of cash and cash equivalents, accounts receivable, and accounts payable approximates their respective carrying values because of the short-term nature of those instruments. The fair value of long-term debt approximates their respective carrying values because the interest rate approximates market rates available to the Company for similar obligations with the same maturities.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and Diluted Net Loss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or loss per share is calculated by dividing net income or loss by the weighted average number of shares outstanding during the period without consideration of potentially dilutive securities. Diluted earnings or loss per share typically adjusts the basic earnings or loss per share for the potentially dilutive impact of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both the basic and diluted net loss per share using the weighted average number of common shares outstanding during the periods presented without consideration of dilutive securities. The Company’s potentially dilutive securities, which primarily of outstanding warrants, options and restricted stock units (“RSUs”), were excluded in the calculation of diluted net loss per share as the result would have been anti-dilutive due to the Company's net loss position in each period presented. As a result, the Company’s basic and diluted earnings per share are equal for the respective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amounts used in computing net loss (basic and diluted) per share: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(6,235,187)</w:t>
            </w:r>
          </w:p>
        </w:tc>
        <w:tc>
          <w:tcPr>
            <w:tcW w:w="10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(13,479,475)</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5,511,875</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641,011</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540" w:type="dxa"/>
            <w:vAlign w:val="bottom"/>
            <w:tcBorders>
              <w:top w:val="single" w:sz="8" w:color="CCEEFF"/>
              <w:bottom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As of December 31, 2025 and 2024, the Company had outstanding warrants and options exercisable for, and outstanding RSUs that could be settled for, an aggregate of 1,773,624 and 5,392,395 shares of common stock,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excluded from the computation of diluted loss per share for the respective periods, as their inclusion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0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9"/>
        </w:trPr>
        <w:tc>
          <w:tcPr>
            <w:tcW w:w="7200" w:type="dxa"/>
            <w:vAlign w:val="bottom"/>
          </w:tcPr>
          <w:p>
            <w:pPr>
              <w:spacing w:after="0"/>
              <w:rPr>
                <w:sz w:val="18"/>
                <w:szCs w:val="18"/>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24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6,639</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6,889</w:t>
            </w:r>
          </w:p>
        </w:tc>
      </w:tr>
      <w:tr>
        <w:trPr>
          <w:trHeight w:val="216"/>
        </w:trPr>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 – Series A</w:t>
            </w:r>
          </w:p>
        </w:tc>
        <w:tc>
          <w:tcPr>
            <w:tcW w:w="24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901,943</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5,286,692</w:t>
            </w:r>
          </w:p>
        </w:tc>
      </w:tr>
      <w:tr>
        <w:trPr>
          <w:trHeight w:val="216"/>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 – Series B</w:t>
            </w:r>
          </w:p>
        </w:tc>
        <w:tc>
          <w:tcPr>
            <w:tcW w:w="24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2,132</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87,384</w:t>
            </w:r>
          </w:p>
        </w:tc>
      </w:tr>
      <w:tr>
        <w:trPr>
          <w:trHeight w:val="216"/>
        </w:trPr>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 – January 2025</w:t>
            </w:r>
          </w:p>
        </w:tc>
        <w:tc>
          <w:tcPr>
            <w:tcW w:w="24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449,193</w:t>
            </w:r>
          </w:p>
        </w:tc>
        <w:tc>
          <w:tcPr>
            <w:tcW w:w="58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24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214,217</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11,430</w:t>
            </w:r>
          </w:p>
        </w:tc>
      </w:tr>
      <w:tr>
        <w:trPr>
          <w:trHeight w:val="216"/>
        </w:trPr>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w:t>
            </w:r>
          </w:p>
        </w:tc>
        <w:tc>
          <w:tcPr>
            <w:tcW w:w="24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55,000</w:t>
            </w:r>
          </w:p>
        </w:tc>
        <w:tc>
          <w:tcPr>
            <w:tcW w:w="58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Pre-funded warrants</w:t>
            </w:r>
          </w:p>
        </w:tc>
        <w:tc>
          <w:tcPr>
            <w:tcW w:w="24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144,498</w:t>
            </w: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1,773,622</w:t>
            </w:r>
          </w:p>
        </w:tc>
        <w:tc>
          <w:tcPr>
            <w:tcW w:w="10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5,392,395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-2540</wp:posOffset>
            </wp:positionV>
            <wp:extent cx="2494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-126365</wp:posOffset>
            </wp:positionV>
            <wp:extent cx="24942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which requires compensation costs to be recognized at grant date fair value over the requisite service period of each of the awards. The Company recognizes forfeitures of awards as they occur.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options is determined using the Black-Scholes option-pricing model. In order to calculate the fair value of options, certain assumptions and estimates are made with respect to variables such as the expected life of options, volatility of the stock price, risk-free interest rates, future dividend yields, and estimated forfeitures at the initial grant date. Changes to these assumptions or estimates could cause result in significant changes to the valuations.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This ASU was issued to update guidance on disclosures that should be provided in interim reporting periods. The Company already complies with the guidance in this ASU, so there will be no impact on its financial statements or disclosures.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This ASU was issued to improve the disclosures about an entity’s expenses, and require certain types of expenses to be disclosed individually, and is effective for annual reporting periods beginning after December 15, 2027. The Company is currently evaluating the impact of this standard on its financial statements or disclosures.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3.</w:t>
      </w:r>
      <w:r>
        <w:rPr>
          <w:sz w:val="20"/>
          <w:szCs w:val="20"/>
          <w:color w:val="auto"/>
        </w:rPr>
        <w:tab/>
      </w:r>
      <w:r>
        <w:rPr>
          <w:rFonts w:ascii="Times New Roman" w:cs="Times New Roman" w:eastAsia="Times New Roman" w:hAnsi="Times New Roman"/>
          <w:sz w:val="17"/>
          <w:szCs w:val="17"/>
          <w:b w:val="1"/>
          <w:bCs w:val="1"/>
          <w:i w:val="1"/>
          <w:i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7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299,015</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406,013</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168,099</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168,099</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153,698</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153,698</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72,964</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72,964</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69,725</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69,725</w:t>
            </w: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QA equipment</w:t>
            </w:r>
          </w:p>
        </w:tc>
        <w:tc>
          <w:tcPr>
            <w:tcW w:w="3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43,582</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43,582</w:t>
            </w:r>
          </w:p>
        </w:tc>
      </w:tr>
      <w:tr>
        <w:trPr>
          <w:trHeight w:val="210"/>
        </w:trPr>
        <w:tc>
          <w:tcPr>
            <w:tcW w:w="7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807,083</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(478,861)</w:t>
            </w: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(430,191)</w:t>
            </w: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328,222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Depreciation expense was $116,645 and $173,973 for the years ended December 31, 2025 and 2024, respectively. There were disposals and sales of fixed assets during the years ended December 31, 2025 and 2024 resulting in net cash received of $4,250 and $132,611, respectively, and the recognition of losses of $13,353 and $146,760, respectively. The disposals in the year ended December 31, 2025 consisted of the sale of two small vehicles and the exchange of a vehicle for services rendered. The disposals in the year ended December 31, 2024 primarily related to sales of equipment and leasehold improvements arising from the termination of a lease.</w:t>
      </w: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4.</w:t>
      </w:r>
      <w:r>
        <w:rPr>
          <w:sz w:val="20"/>
          <w:szCs w:val="20"/>
          <w:color w:val="auto"/>
        </w:rPr>
        <w:tab/>
      </w:r>
      <w:r>
        <w:rPr>
          <w:rFonts w:ascii="Times New Roman" w:cs="Times New Roman" w:eastAsia="Times New Roman" w:hAnsi="Times New Roman"/>
          <w:sz w:val="17"/>
          <w:szCs w:val="17"/>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payroll liabilities</w:t>
            </w:r>
          </w:p>
        </w:tc>
        <w:tc>
          <w:tcPr>
            <w:tcW w:w="8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146,407</w:t>
            </w:r>
          </w:p>
        </w:tc>
        <w:tc>
          <w:tcPr>
            <w:tcW w:w="14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145,686</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49,505</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30,913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and deposit (sublease)</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17,754</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7,955</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5,406</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Long-Term Debt</w:t>
            </w: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2025 and 2024:</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8"/>
        </w:trPr>
        <w:tc>
          <w:tcPr>
            <w:tcW w:w="6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Note payable – bank. Payable in monthly installments of $332, including interest at</w:t>
            </w: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 per annum, secured by equipment. This note was repaid in full in August 2025.</w:t>
            </w: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 payable – credit union. Payable in monthly installments of $508, including</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at 5.45% per annum, , secured by a vehicle. This note was repaid in full in</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March 2024.</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 payable – SBA: The Economic Injury Disaster Loan is payable in monthly</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installments of $731, including interest at 3.75% per annum, matures in May 2050, and</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 unsecured.</w:t>
            </w: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138,853</w:t>
            </w: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143,144</w:t>
            </w: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Notes payable – The Company has acquired six notes payable to GM Financial for</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vehicles. In April 2022, the Company secured a commercial line up to $300,000 to be</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used to finance vehicle purchases. The original agreement expired in April 2023 but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was renewed for a commercial line up to $350,000 with prevailing GM Financial</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existing terms each year since. The current agreement expires in April 2026. One note</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was paid off when the corresponding vehicle was sold in May 2023, two notes were</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paid off when the corresponding vehicles were sold in February 2024, and three notes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remain outstanding as of December 31, 2025. The notes are currently payable in</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aggregate monthly installments of $2,560, including interest at rates ranging from</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6.14% to 7.29% per annum, mature at various dates from October 2027 to May of</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2028, and are secured by the related vehicles.</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58,392</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84,369</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197,245</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(31,058)</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(31,758)</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unamortized debt discount and current portion</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5440"/>
              <w:spacing w:after="0"/>
              <w:rPr>
                <w:sz w:val="20"/>
                <w:szCs w:val="20"/>
                <w:color w:val="auto"/>
              </w:rPr>
            </w:pPr>
            <w:r>
              <w:rPr>
                <w:rFonts w:ascii="Times New Roman" w:cs="Times New Roman" w:eastAsia="Times New Roman" w:hAnsi="Times New Roman"/>
                <w:sz w:val="18"/>
                <w:szCs w:val="18"/>
                <w:color w:val="auto"/>
              </w:rPr>
              <w:t>F-15</w:t>
            </w: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76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Future maturities of long-term debt are as follows:</w:t>
            </w:r>
          </w:p>
        </w:tc>
        <w:tc>
          <w:tcPr>
            <w:tcW w:w="19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9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940" w:type="dxa"/>
            <w:vAlign w:val="bottom"/>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31,058</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30,381</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9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9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119,550</w:t>
            </w: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197,245</w:t>
            </w:r>
          </w:p>
        </w:tc>
      </w:tr>
      <w:tr>
        <w:trPr>
          <w:trHeight w:val="20"/>
        </w:trPr>
        <w:tc>
          <w:tcPr>
            <w:tcW w:w="68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Stockholder Promissory Notes</w:t>
      </w:r>
    </w:p>
    <w:p>
      <w:pPr>
        <w:spacing w:after="0" w:line="229"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 Company previously issued unsecured promissory notes to certain stockholders (the “Stockholder Notes”). As of December 31, 2025 and 2024, the Company had no outstanding principal balance due pursuant to the Stockholder Notes, which were fully repaid in August 2024.</w:t>
      </w:r>
    </w:p>
    <w:p>
      <w:pPr>
        <w:spacing w:after="0" w:line="16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Interest paid to stockholders under the Stockholder Notes totaled $0 and $42,862 during the years ended December 31, 2025 and 2024, respectively. There was no accrued interest under the Stockholder Notes as of December 31, 2025 or 2024.</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7.</w:t>
      </w:r>
      <w:r>
        <w:rPr>
          <w:sz w:val="20"/>
          <w:szCs w:val="20"/>
          <w:color w:val="auto"/>
        </w:rPr>
        <w:tab/>
      </w:r>
      <w:r>
        <w:rPr>
          <w:rFonts w:ascii="Times New Roman" w:cs="Times New Roman" w:eastAsia="Times New Roman" w:hAnsi="Times New Roman"/>
          <w:sz w:val="17"/>
          <w:szCs w:val="17"/>
          <w:b w:val="1"/>
          <w:bCs w:val="1"/>
          <w:i w:val="1"/>
          <w:iCs w:val="1"/>
          <w:color w:val="auto"/>
        </w:rPr>
        <w:t>Equity and Debt Financings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2025 Private Placement</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On October 16, 2025, the Company entered into a securities purchase agreement (the “Purchase Agreement”) with two institutional investors pursuant to which the Company agreed to sell in a private placement (the “October 2025 Private Placement”) an aggregate of (i) 613,077 shares of common stock, and</w:t>
      </w:r>
    </w:p>
    <w:p>
      <w:pPr>
        <w:spacing w:after="0" w:line="1" w:lineRule="exact"/>
        <w:rPr>
          <w:sz w:val="20"/>
          <w:szCs w:val="20"/>
          <w:color w:val="auto"/>
        </w:rPr>
      </w:pPr>
    </w:p>
    <w:p>
      <w:pPr>
        <w:ind w:right="20" w:firstLine="8"/>
        <w:spacing w:after="0" w:line="282"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pre-funded warrant (the “October 2025 Pre-Funded Warrant”) to purchase up to 144,498 shares of common stock. The offering price per share was $1.65 and the offering price per pre-funded warrant share was $1.649.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$1.1 million from the October 2025 Private Placement after deducting offering expenses payable by the Company. The Company used the net proceeds from the offering to pay severance obligations to certain executive officers that transitioned concurrent with the completion of the October 2025 Private Placement, and for working capital and other general corporate purposes.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October 2025 Pre-Funded Warrant is exercisable immediately upon issuance for cash or on a cashless basis at the discretion of the holder. The exercise price of the October 2025 Pre-Funded Warrant is $0.001 per share. The number of pre-funded warrant shares that may be issuable is subject to adjustment for stock splits, recapitalizations, and reorganizations. The holder of the October 2025 Pre-Funded Warrant does not have any voting rights, but does have the right to participate in any dividends or distributions made by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in the October 2025 Private Placement was made pursuant to the exemption from the registration requirements of the Securities Act of 1933, as amended (the “Securities Act”), provided by Section 4(a)(2) of the Securities Act and Rule 506 promulgated thereunder.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Public Offering</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January 2025, the Company sold in a public offering (the “January 2025 Public Offering”) (i) 474,193 shares of common stock, (ii) pre-funded warrants (the “January 2025 Pre-Funded Warrants”) to purchase 574,193 shares of common stock, which were exercised immediately upon closing, and (iii) warrants to purchase 1,048,386 shares of common stock at an exercise price of $2.36 per share (the “January 2025 Warrants”). The offering price per share was $2.48 and the offering price per pre-funded warrant share was $2.479.</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$1.8 million from the January 2025 Public Offering after deducting offering expenses payable by the Company. The Company used the net proceeds from the offering to pay certain obligations under the Series A Warrants (as defined below), and for working capital and other general corporate purposes.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The January 2025 Pre-Funded Warrants are exercisable immediately upon issuance for cash or on a cashless basis at the discretion of the holder. The exercise price of the January 2025 Pre-Funded Warrants is $0.001 per share. The number of pre-funded warrant shares that may be issuable is subject to adjustment for stock splits, recapitalizations, and reorganizations. The holders of the January 2025 Pre-Funded Warrants do not have any voting rights, but do have the right to participate in any dividends or distributions made by the Company.</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fair value of the January 2025 Warrants was determined at the date of issuance using the Black-Scholes option-pricing model based on the following estimates and assumptions: a per share price of common stock on date of grant of $2.22; expected dividend yield of 0%; expected volatility of 158.64%; risk-free interest rate of 4.41%; and expected life of five years. The warrants were valued at $2.064 per share, with a total value of $2,163,869.</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the securities in the January 2025 Public Offering was made pursuant to an effective shelf registration statement on Form S-3 (File No. 333-272956), which the Company filed with the SEC on June 27, 2023 and was declared effective on July 10, 2023 (the “Shelf Registration Statement”). The offer and sale of the January 2025 Warrants was made pursuant to a registration statement on Form S-1 (File No. 333-284354), which the Company filed with the SEC on January 17, 2025 and was declared effective on February 11,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2025, the Company entered into inducement offer letter agreements with certain holders of the January 2025 Warrants, which reduced the exercise price of the January 2025 Warrants from $2.36 per share to $1.31 per share in exchange for the prompt exercise by such holders of the warrants for cash (the “Warrant Inducement”). The difference between the fair value of the warrants immediately prior to and following modification was calculated using the Black-Scholes option-pricing model and treated as a transaction cost, and resulted in $97,746 being netted against the proceeds received from the January 2025 Warrants. As a result of the Warrant Inducement, January 2025 Warrants covering an aggregate of 599,193 shares of common stock were exercised, resulting in net proceeds to the Company of approximately $0.8 million. On August 22, 2025, the Company’s board of directors took action to permanently reduce the exercise price of the January 2025 Warrants from $2.36 per share to $1.31 per share (the “Exercise Price Reduction” and, together with the Warrant Inducement, the “Warrant Adjustments”). As of December 31, 2025, January 2025 Warrants covering an aggregate of 449,193 shares of common stock remained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 Cash True-Up Payment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8, 2024, the Company effected a 1-for-100 reverse stock split (the “Reverse Stock Split”) of its issued and outstanding shares of common stock, which was approved by the Company’s board of directors on September 27, 2024, following stockholder approval at the Company’s annual meeting of stockholders held on September 27, 2024 (the “2024 Annual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lowest daily volume weighted average price (“VWAP”) of the common stock during the five trading days before and after the Reverse Stock Split being below the minimum threshold set forth in the Series A Warrants, a Reverse Stock Split cash true-up payment provision in the Series A Warrants was triggered (the “Cash True-up Payment”). The Cash True-Up Payment was capped at $5.0 million in the aggregate, but the payment was initially suspended in accordance with the terms of the Series A Warrants. See the section titled “—August 2024 Public Offering” for additional information.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$14,052 of the Cash True-up Payment was relieved in connection with the exercise of certain Series A Warrants, leaving a remaining liability of $4,985,948 as of December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used $500,000 of the net proceeds from the January 2025 Public Offering to satisfy a portion of the Cash True-up Payment, leaving a remaining liability of $4,485,948.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2025, in connection with the Warrant Inducement, the Company entered into inducement offer letter agreements with certain holders of the Series A Warrants, which reduced the exercise price of the Series A Warrants from $5.206 per share to $1.31 per share in exchange for the prompt exercise by such holders of the warrants for cash. The Warrant Inducement had the effect of eliminating the Cash True-up Payment obligation pursuant to the terms of the Series A Warrants. As a result, the Cash True-up Payment liability of $4,485,948 was no longer payable, and this amount was recorded as a credit to Other income / (expense) on the Statement of Operations. As of December 31, 2025, the Cash True-up Payment liability balance was $0.</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August 2024 Public Offering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8, 2024, the Company issued and sold in a public offering (the “August 2024 Public Offering”) (i) 33,402,000 common units (pre-Reverse Stock Split), each consisting of one share of common stock, two Series A Warrants and one Series B Warrant (collectively, the “Common Units”), and (ii) 16,598,000 pre-funded units (pre-Reverse Stock Split), each consisting of one pre-funded warrant (the “August 2024 Pre-Funded Warrant”), two Series A Warrants, and one Series B Warrant (collectively, the “Pre-Funded Units”). The Common Units were sold at a price of $0.20 per unit and the Pre-Funded Units were sold at a price of $0.199 per unit (pre-Reverse Stock Split).</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the Company granted the underwriter a 45-day option to purchase additional shares of common stock and/or August 2024 Pre-Funded Warrants and/or Series A Warrants and/or Series B Warrants, representing up to 15% of the number of the respective securities sold in the August 2024 Public Offering, solely to cover over-allotments, if any. The underwriter partially exercised its over-allotment option with respect to 15,000,000 Series A Warrants (pre-Reverse Stock Split) and 7,500,000 Series B Warrants (pre-Reverse Stock Split).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Pre-Funded Warrants were immediately exercisable at an exercise price of $0.001 per share (pre-Reverse Stock Split). As of December 31, 2024, all Pre-Funded Warrants had been exercised.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$8.7 million from the August 2024 Public Offering after deducting offering expenses payable by the Company. The Company used the net proceeds from the offering to satisfy its obligations pursuant to the 3i Note (as defined below), to satisfy its obligations under the Termination Agreement (as defined below), and for working capital and other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Series A Warrant became exercisable on September 30, 2024, and will expire five years from such date. Each Series A Warrant was initially exercisable at an exercise price of $24.00 per share of common stock (post-Reverse Stock Split). The exercise price of the Series A Warrants was subsequently reduced to $5.206 (post-Reverse Stock Split) consistent with the terms of the Series A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14, 2025, in connection with the Warrant Inducement, the exercise price of the Series A Warrants was further reduced to $1.31 per share. The difference between the fair value of the warrants immediately prior to and following modification was calculated using the Black-Scholes option-pricing model and treated as a transaction cost, and resulted in $1,423,166 being netted against the proceeds received from the Series A Warrants. As a result of the Warrant Inducement, an aggregate of 95,112,212 Series A Warrants were exercised, resulting in the issuance of an aggregate of 4,384,749 shares of common stock, resulting in net proceeds to the Company of $4,918,695.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22, 2025, in connection with the Exercise Price Reduction, the exercise price of all of the outstanding Series A Warrants was reduced from $5.206 per share to $1.31 per share. As of December 31, 2025, Series A Warrants to purchase an aggregate of 901,943 shares of common stock remain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Series B Warrant was exercisable immediately upon issuance at an exercise price of $0.10 per share (post-Reverse Stock Split). In July 2025, 85,252 shares of common stock were issued upon exercise of Series B Warrants, resulting in net proceeds to the Company of $8,525. As of December 31, 2025, Series B Warrants to purchase an aggregate of 2,132 shares of common stock remain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and sale of securities in the August 2024 Public Offering was made pursuant to an effective shelf registration statement on Form S-1 (File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333-280996), which the Company initially filed with the SEC on July 25, 2024 and was declared effective on August 6,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Financing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27, 2023, the Company entered into a securities purchase agreement with 3i, LP (“3i”), pursuant to which the Company issued and sold: (i) a senior unsecured convertible note in the aggregate principal amount of $2,750,000, with a 10.0% original issue discount and an interest rate of 9.0% per annum (the “3i Note”), (ii) up to $247,500 in newly issued shares of common stock, which were payable, subject to the fulfillment of certain conditions set forth in the 3i Note, to satisfy interest payments under the 3i Note (the “Interest Shares”), and (iii) 635 shares of common stock issued to 3i as consideration for its commitment to purchase the 3i Note (collectively, the “Convertible Note Financing”).</w:t>
      </w: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received net proceeds of approximately $1.8 million from the Convertible Note Financing after deducting related expenses payable by the Company. The Company used the net proceeds for working capital and other general corporate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and sale of securities in the Convertible Note Financing was made pursuant to the Shelf Registration Statement.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8, 2024, in connection with the closing of the August 2024 Public Offering, the Company repaid the 3i Note, and the Company’s obligations under the 3i Note were fully satisfied and discharged. Prior to the satisfaction of the amounts owed pursuant to the 3i Note, the Company issued 414 shares of common stock (post-Reverse Stock Split) for the payment of $90,839 in interest.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Line of Credit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27, 2023, the Company entered into a common stock purchase agreement with Tumim Stone Capital, LLC (“Tumim”), pursuant to which the Company had the right, but not the obligation, to sell to Tumim, and Tumim was obligated to purchase, up to the lesser of (a) $20,000,000 in aggregate gross purchase price of newly issued shares of common stock and (b) the Exchange Cap (as defined in the common stock purchase agreement) (the “Equity Line of Credit”).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shares to Tumim pursuant to the Equity Line of Credit was made pursuant to the exemption from the registration requirements of the Securities Act, provided by Section 4(a)(2) of the Securities Act and Rule 506 promulgated thereunder. The resale of the shares sold to Tumim was registered pursuant to a Registration Statement on Form S-1 (File No. 333-276663) filed with the SEC on January 23, 2024, which was declared effective on February 9, 2024.</w:t>
      </w:r>
    </w:p>
    <w:p>
      <w:pPr>
        <w:spacing w:after="0" w:line="18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connection with the August 2024 Public Offering, the Company and Tumim mutually agreed to terminate the Equity Line of Credit. Prior to termination, the Company had sold 4,336 shares of common stock under the Equity Line of Credit for an aggregate amount of $828,491, of which $434,958 was used to repay a portion of the Company’s obligations under the 3i Note.</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8.</w:t>
      </w:r>
      <w:r>
        <w:rPr>
          <w:sz w:val="20"/>
          <w:szCs w:val="20"/>
          <w:color w:val="auto"/>
        </w:rPr>
        <w:tab/>
      </w:r>
      <w:r>
        <w:rPr>
          <w:rFonts w:ascii="Times New Roman" w:cs="Times New Roman" w:eastAsia="Times New Roman" w:hAnsi="Times New Roman"/>
          <w:sz w:val="17"/>
          <w:szCs w:val="17"/>
          <w:b w:val="1"/>
          <w:bCs w:val="1"/>
          <w:i w:val="1"/>
          <w:i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its warehouses and office space under long-term lease arrangements. All of the Company’s leases are accounted for as operating leases. For longer-term lease arrangements that are recognized on the Balance Sheets, the ROU asset and lease liability are initially measured at the commencement date based upon the present values of the lease payments. The Company does not recognize a ROU asset and lease liability for short term leases, which have terms of 12 months or less. See “Note 2, Summary of Significant Accounting Policies—Leases” for additional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long-term, non-cancelable operating lease agreement for warehouse space next door to the existing office and warehouse space in Redmond, Oregon, resulting in the Company recognizing an additional ROU asset and corresponding lease liability of $198,216, representing the present value of the lease payments discounted using an IBR of 13.49%. The lease expires in April 2028 and provides for one three-year option to renew.</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January and February 2022, the Company entered into two long-term, non-cancelable operating lease agreements for office and warehouse space resulting in the Company recognizing an additional ROU asset and corresponding lease liability of $2,348,509, representing the present value of the lease payments discounted using an IBR of 8.07% and 8.86%, respectively. One lease was terminated in September 2024, and the remaining lease expires in December 2026.</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2021, the Company entered into a long-term, non-cancelable operating lease agreement for office and warehouse space resulting in the Company recognizing an additional ROU asset and lease liability of $1,268,089, representing the present value of the lease payments discounted using an IBR of 7.47%. The lease expires in January 2028 and contains one three-year option to renew.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three additional leases relating to office and warehouse space that were terminated in January 2023, September 2024, and February 2025, respectively. The related ROU assets and lease liabilities were removed from the Balance Sheets at the time of 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generally provide for fixed annual increases and require the Company to pay real estate taxes, insurance, and repairs.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total lease costs for the years ending December 31, 2025 and 2024:</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359,337</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320" w:type="dxa"/>
            <w:vAlign w:val="bottom"/>
          </w:tcPr>
          <w:p>
            <w:pPr>
              <w:spacing w:after="0"/>
              <w:rPr>
                <w:sz w:val="18"/>
                <w:szCs w:val="18"/>
                <w:color w:val="auto"/>
              </w:rPr>
            </w:pPr>
          </w:p>
        </w:tc>
        <w:tc>
          <w:tcPr>
            <w:tcW w:w="21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3,652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18"/>
                <w:szCs w:val="18"/>
                <w:color w:val="auto"/>
              </w:rPr>
            </w:pPr>
          </w:p>
        </w:tc>
      </w:tr>
      <w:tr>
        <w:trPr>
          <w:trHeight w:val="22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(7,169)</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(42,804)</w:t>
            </w: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355,820</w:t>
            </w: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was 2.06 and 2.91 years as of December 31, 2025 and 2024, respectively. The weighted-average IBR was 8.99% and 7.60% as of December 31, 2025 and 2024, respectively. Operating cash flows from the operating leases totaled $287,409 and $455,690 for the years ended December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lease liability as of December 31, 2025 and 2024 was $709,724 and $798,917,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of the operating lease liabilities as of December 31, 2025, for years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4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387,742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339,392</w:t>
            </w:r>
          </w:p>
        </w:tc>
        <w:tc>
          <w:tcPr>
            <w:tcW w:w="3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49,233</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776,367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(66,643)</w:t>
            </w:r>
          </w:p>
        </w:tc>
      </w:tr>
      <w:tr>
        <w:trPr>
          <w:trHeight w:val="263"/>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709,724</w:t>
            </w: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r>
      <w:tr>
        <w:trPr>
          <w:trHeight w:val="196"/>
        </w:trPr>
        <w:tc>
          <w:tcPr>
            <w:tcW w:w="8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540" w:type="dxa"/>
            <w:vAlign w:val="bottom"/>
            <w:gridSpan w:val="2"/>
          </w:tcPr>
          <w:p>
            <w:pPr>
              <w:jc w:val="right"/>
              <w:ind w:right="404"/>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337,246</w:t>
            </w:r>
          </w:p>
        </w:tc>
        <w:tc>
          <w:tcPr>
            <w:tcW w:w="300" w:type="dxa"/>
            <w:vAlign w:val="bottom"/>
          </w:tcPr>
          <w:p>
            <w:pPr>
              <w:spacing w:after="0"/>
              <w:rPr>
                <w:sz w:val="18"/>
                <w:szCs w:val="18"/>
                <w:color w:val="auto"/>
              </w:rPr>
            </w:pPr>
          </w:p>
        </w:tc>
      </w:tr>
      <w:tr>
        <w:trPr>
          <w:trHeight w:val="22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372,478</w:t>
            </w:r>
          </w:p>
        </w:tc>
        <w:tc>
          <w:tcPr>
            <w:tcW w:w="300" w:type="dxa"/>
            <w:vAlign w:val="bottom"/>
            <w:shd w:val="clear" w:color="auto" w:fill="CCEEFF"/>
          </w:tcPr>
          <w:p>
            <w:pPr>
              <w:spacing w:after="0"/>
              <w:rPr>
                <w:sz w:val="19"/>
                <w:szCs w:val="19"/>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709,724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Subleases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subleased office and warehouse space under one of its operating leases with similar terms as the Company’s lease agreements. The Company’s lease and corresponding sublease for that property expired in February 2025 and were not renewed. Two additional subleases ended in February 2023. Because the Company was not relieved of its primary obligations under the original lease, the Company accounted for the subleases as a lessor. Sublease rental income was recorded based on the contractual rental payments, which were not substantially different from recognition on a straight-line basis over the lease term. Sublease rental income totaled $7,169 and $42,804 during the years ended December 31, 2025 and 2024, respectively. As of December 31, 2025 and 2024, deferred sublease income and a sublease deposit totaled $0 and $4,549, respectively, and is included in accrued expenses and other current liabilities on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subleases as of December 31, 2025.</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be involved from time to time in litigation or claims arising in the ordinary course of its business. While the ultimate liability, if any, arising from these claims cannot be determined with certainty, the Company believes that the resolution of any such matters are not reasonably likely have a material adverse effect on the Company’s financial condition, operating results or cash flows.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2, 2024, the Company entered into a Settlement Agreement and Mutual Release (the “Settlement Agreement”) with Alexander Capital L.P. (“Alexander”), pursuant to which the parties resolved certain disputes while not admitting any liability or wrongdoing (the “Settlement Agreement”). Pursuant to the Settlement Agreement, the Company agreed to (i) make a single cash payment of $100,000, (ii) issue 100,000 shares of common stock, and</w:t>
      </w:r>
    </w:p>
    <w:p>
      <w:pPr>
        <w:spacing w:after="0" w:line="1" w:lineRule="exact"/>
        <w:rPr>
          <w:sz w:val="20"/>
          <w:szCs w:val="20"/>
          <w:color w:val="auto"/>
        </w:rPr>
      </w:pPr>
    </w:p>
    <w:p>
      <w:pPr>
        <w:jc w:val="both"/>
        <w:ind w:firstLine="8"/>
        <w:spacing w:after="0" w:line="271"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certain outstanding warrants held by Alexander to reduce the per share exercise price from $9.10 to $4.50. The shares of common stock were issued pursuant to the Shelf Registration Statement. The Settlement Agreement also contained other customary provisions, including a mutual release of claims and mutual non-disparagement provision.</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2024, the Company entered into a Mutual Termination Agreement (the “Termination Agreement”) with Alexander, pursuant to which the parties agreed to terminate a provision in the Underwriting Agreement, dated March 31, 2022, entered into by and between the Company and Alexander, which granted Alexander a right of first refusal to act as the Company’s financial advisor, placement agent or underwriter in connection with certain financing transactions (the “ROFR Provision”). In exchange for the termination of the ROFR Provision, and in connection with the closing of the August 2024 Public Offering, the Company made a cash payment to Alexander in the amount of $400,900.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Requirement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2024, the Company received a determination from The Nasdaq Listing Qualifications Department (the “Staff”) of The Nasdaq Stock Market (“Nasdaq”) to delist the common stock from the Nasdaq Capital Market indicating that (i) the Company was not in compliance with Nasdaq Listing Rule 5550(a)(2) because the closing bid price for the common stock had closed below $1.00 for the previous 30 consecutive business days, and (ii) the Company was subject to Nasdaq Listing Rule 5810(c)(3)(A)(iii) because, as of September 5, 2024, the common stock had a closing bid price of $0.10 or less for at least ten consecutive trading days (the “September 2024 Staff Determination”).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12, 2024, the Company requested an appeal hearing with respect to the September 2024 Staff Determination from the Nasdaq Hearings Panel (the “Panel”), which had the effect of staying the delisting of the common stock pending the Panel’s decision.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Upon completion of the Reverse Stock Split, the Company received a letter from the Staff on October 23, 2024, advising the Company that it had regained compliance with the minimum bid price requirements and that the Company was therefore in compliance with Nasdaq’s listing requirements. Consequently, the scheduled hearing before the Panel was cancelled.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2025, the Company received a determination from the Staff stating that the bid price of the common stock had closed below the $1.00 minimum required by Nasdaq Listing Rule 5550(a)(2) for the prior 30 consecutive business days (the “Minimum Bid Price Requirement”) and the Staff had determined to delist its securities from the Nasdaq Capital Market (the “July 2025 Staff Determination”). The Company timely requested and was granted an appeal hearing before the Panel to appeal the July 2025 Staff Determination, which had the effect of staying the delisting of the common stock pending the Panel’s decision. As of August 12, 2025, the common stock had closed above $1.00 for more than ten consecutive trading days. As a result, on August 13, 2025, the Company received a letter from the Staff advising that it had regained compliance with the Minimum Bid Price Requirement, and that it was therefore in compliance with Nasdaq’s listing requirements. Consequently, the appeal hearing before the Panel was cancelled.</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On August 20, 2025, the Company received a notification letter (the “August 2025 Staff Notice”) from the Staff notifying it that the stockholders’ equity balance reported in the Quarterly Report for the three months ended June 30, 2025 was below the $2.5 million required minimum for continued listing on the Nasdaq Capital Market as set forth in Nasdaq Listing Rule 5550(b)(1). Following the Warrant Adjustments and resulting warrant exercises, and the elimination of the Cash True-up Payment liability, the Company’s stockholders’ equity balance increased above the required threshold. On September 17, 2025, the Company received a letter from the Staff confirming it had regained compliance with Nasdaq’s listing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14, Subsequent Events</w:t>
      </w:r>
      <w:r>
        <w:rPr>
          <w:rFonts w:ascii="Times New Roman" w:cs="Times New Roman" w:eastAsia="Times New Roman" w:hAnsi="Times New Roman"/>
          <w:sz w:val="18"/>
          <w:szCs w:val="18"/>
          <w:color w:val="auto"/>
        </w:rPr>
        <w:t>” for additional information.</w:t>
      </w:r>
    </w:p>
    <w:p>
      <w:pPr>
        <w:spacing w:after="0" w:line="2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9.</w:t>
        <w:tab/>
        <w:t>Stockholders’ Equity</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is authorized to issue an aggregate of 220,000,000 shares of capital stock, par value $0.001 per share, consisting of 200,000,000 shares of common stock and 20,000,000 shares of preferred stock. As of December 31, 2025 and 2024, 9,781,739 and 2,096,082 shares, respectively, of common stock were issued and outstanding. No shares of preferred stock have been issued.</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Stockholders are entitled to one vote for each share of common stock. The holders of common stock have no conversion, redemption or preemptive rights and shall be entitled to receive dividends when, as, and if declared by the board of directors. Upon dissolution, liquidation, or winding up of the Company, after payment or provision for payment of debts and other liabilities of the Company, subject to the rights, if any, of the holders of any class or series of capital stock having a preference over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of common stock held. Since no shares of preferred stock have been issued, no rights and privileges of preferred stockholders have been defined.</w:t>
      </w:r>
    </w:p>
    <w:p>
      <w:pPr>
        <w:spacing w:after="0" w:line="21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November 2025, the Company issued 125,000 unregistered shares of common stock to a vendor in exchange for services rendered, and recorded a $141,250 expense in legal and professional fees.</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October 2025, the Company issued 400,000 RSUs pursuant to the 2021 Plan (as defined below) that were immediately vested upon issuance and settled for 400,000 shares of common stock, and recorded $600,000 of stock-based compensation expenses. In addition, the Company issued an aggregate of 613,077 shares of common stock pursuant to the October 2025 Private Placement.</w:t>
      </w:r>
    </w:p>
    <w:p>
      <w:pPr>
        <w:spacing w:after="0" w:line="19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September 2025, the Company issued 200,000 unregistered shares of common stock to a vendor in exchange for services rendered, and recorded $242,000 of legal and professional fee expenses.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2025, 4,384,749 shares of common stock were issued upon exercise of Series A Warrants, and 599,193 shares of common stock were issued upon exercise of January 2025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2025, 85,252 shares of common stock were issued upon exercise of Series B Warrants.</w:t>
      </w:r>
    </w:p>
    <w:p>
      <w:pPr>
        <w:spacing w:after="0" w:line="2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April 2025, the Company issued 105,000 RSUs pursuant to the 2021 Plan that were immediately vested and settled for 105,000 shares of common stock, and 125,000 shares were granted to a vendor in exchange for services rendered, and expenses of $80,850 in stock-based compensation and $106,250 in legal and professional fees were recorded for these two transactions,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Company issued an aggregate of 1,048,386 shares of common stock pursuant to the January 2025 Public Offering.</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7, Equity and Debt Financings</w:t>
      </w:r>
      <w:r>
        <w:rPr>
          <w:rFonts w:ascii="Times New Roman" w:cs="Times New Roman" w:eastAsia="Times New Roman" w:hAnsi="Times New Roman"/>
          <w:sz w:val="18"/>
          <w:szCs w:val="18"/>
          <w:color w:val="auto"/>
        </w:rPr>
        <w:t>” for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the January 2025 Public Offering, the Company issued pre-funded warrants, which were immediately exercised for 574,193 shares of common stock at $2.48 per share, and 1,048,386 January 2025 Warrants at an exercise price of $2.36 per share. In August 2025, as part of the Warrant Inducement, the Company issued 599,193 shares of common stock upon exercise of the January 2025 Warrants for a price of $1.31 per share. As of December 31, 2025, 449,193 of the January 2025 Warrants remain outstanding.</w:t>
      </w:r>
    </w:p>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In 2024, 8,125,000 Series B Warrants exercisable for 496,232 shares at $0.10 per share were exercised using the cashless conversion option which resulted in the issuance of 215,678 shares of common stock (based on a $5.206 reset price). Another 46,300,000 Series B Warrants were exercised on a cash basis which resulted in the issuance of 1,078,689 shares of common stock (based on a $5.206 reset price). In July 2025, 3,000,000 warrants were exercised on a cash basis, which resulted in the issuance of 85,252 shares. In 2024, 323,203 Series A Warrants were exercised on a cash basis which resulted in the issuance of 14,900 of common stock. In August 2025, as part of the Warrant Inducement, the exercise price of the Series A Warrants was reduced to $1.31 per share, and 4,384,749 shares were issued upon exercise of 95,112,212 warrants. As of December 31, 2025, there were 19,564,585 Series A Warrants exercisable for 901,943 shares and 75,000 Series B Warrants exercisable for 2,132 shares outstanding.</w:t>
      </w:r>
    </w:p>
    <w:p>
      <w:pPr>
        <w:spacing w:after="0" w:line="18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2023, the Company issued 25,000 warrants to purchase 250 shares of common stock, at an exercise price of $500.00 per share, to its investor relations firm in accordance with an engagement letter. All 25,000 warrants expired August 9, 2025 without being exercised.</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2022, the Company issued 148,005 warrants to purchase 1,490 shares of common stock, at an exercise price of $910.00 per share, with an expiration date of March 31, 2027. As part of a settlement agreement on May 2, 2024, the Company agreed to modify the exercise price of 88,803 warrants convertible into 891 shares from $910.00 to $450.00. As of December 31, 2025, all warrants with an exercise price of $910.00 and $450.00 remain outstanding.</w:t>
      </w:r>
    </w:p>
    <w:p>
      <w:pPr>
        <w:spacing w:after="0" w:line="1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2021, the Company issued 559,431 warrants to purchase 5,602 shares of common stock at an exercise price of $332.00 per share, with an expiration date of November 22, 2031. Warrants were exercised during 2023 and 2024, and as of December 31, 2025, there were 514,290 warrants exercisable for 5,149 shares outstanding.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warrants issued and outstanding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Average Remaining Life</w:t>
            </w:r>
          </w:p>
        </w:tc>
      </w:tr>
      <w:tr>
        <w:trPr>
          <w:trHeight w:val="238"/>
        </w:trPr>
        <w:tc>
          <w:tcPr>
            <w:tcW w:w="28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27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Issuable Shares</w:t>
            </w:r>
          </w:p>
        </w:tc>
        <w:tc>
          <w:tcPr>
            <w:tcW w:w="220" w:type="dxa"/>
            <w:vAlign w:val="bottom"/>
          </w:tcPr>
          <w:p>
            <w:pPr>
              <w:spacing w:after="0"/>
              <w:rPr>
                <w:sz w:val="20"/>
                <w:szCs w:val="20"/>
                <w:color w:val="auto"/>
              </w:rPr>
            </w:pP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302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09"/>
        </w:trPr>
        <w:tc>
          <w:tcPr>
            <w:tcW w:w="25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75,000(1)</w:t>
            </w:r>
          </w:p>
        </w:tc>
        <w:tc>
          <w:tcPr>
            <w:tcW w:w="34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N/A(2)</w:t>
            </w:r>
          </w:p>
        </w:tc>
      </w:tr>
      <w:tr>
        <w:trPr>
          <w:trHeight w:val="216"/>
        </w:trPr>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449,193</w:t>
            </w:r>
          </w:p>
        </w:tc>
        <w:tc>
          <w:tcPr>
            <w:tcW w:w="34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449,193</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8"/>
                <w:szCs w:val="18"/>
                <w:color w:val="auto"/>
              </w:rPr>
            </w:pPr>
          </w:p>
        </w:tc>
        <w:tc>
          <w:tcPr>
            <w:tcW w:w="30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19,564,585(4)</w:t>
            </w:r>
          </w:p>
        </w:tc>
        <w:tc>
          <w:tcPr>
            <w:tcW w:w="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901,943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514,290</w:t>
            </w:r>
          </w:p>
        </w:tc>
        <w:tc>
          <w:tcPr>
            <w:tcW w:w="34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5,149</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tcPr>
          <w:p>
            <w:pPr>
              <w:spacing w:after="0"/>
              <w:rPr>
                <w:sz w:val="18"/>
                <w:szCs w:val="18"/>
                <w:color w:val="auto"/>
              </w:rPr>
            </w:pPr>
          </w:p>
        </w:tc>
        <w:tc>
          <w:tcPr>
            <w:tcW w:w="30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2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88,803</w:t>
            </w:r>
          </w:p>
        </w:tc>
        <w:tc>
          <w:tcPr>
            <w:tcW w:w="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59,202</w:t>
            </w:r>
          </w:p>
        </w:tc>
        <w:tc>
          <w:tcPr>
            <w:tcW w:w="340" w:type="dxa"/>
            <w:vAlign w:val="bottom"/>
          </w:tcPr>
          <w:p>
            <w:pPr>
              <w:spacing w:after="0"/>
              <w:rPr>
                <w:sz w:val="19"/>
                <w:szCs w:val="19"/>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910.00</w:t>
            </w:r>
          </w:p>
        </w:tc>
        <w:tc>
          <w:tcPr>
            <w:tcW w:w="120" w:type="dxa"/>
            <w:vAlign w:val="bottom"/>
          </w:tcPr>
          <w:p>
            <w:pPr>
              <w:spacing w:after="0"/>
              <w:rPr>
                <w:sz w:val="19"/>
                <w:szCs w:val="19"/>
                <w:color w:val="auto"/>
              </w:rPr>
            </w:pPr>
          </w:p>
        </w:tc>
        <w:tc>
          <w:tcPr>
            <w:tcW w:w="30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1.25</w:t>
            </w:r>
          </w:p>
        </w:tc>
      </w:tr>
      <w:tr>
        <w:trPr>
          <w:trHeight w:val="209"/>
        </w:trPr>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20,751,073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1,359,907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r>
    </w:tbl>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Series B Warrants, which are subject to reset pricing to determine the number of shares issuable.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do not have an expiration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January 2025 Warrants, which were part of the Warrant Inducement, and their exercise price was reduced from $2.36 to $1.31 per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Series A Warrants, which are subject to reset pricing to determine the number of shares issuable.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Warrants were part of the Warrant Inducement, and their exercise price was reduced from $5.206 to $1.31 per share.</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Warrant Inducement and Repricing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On August 14, 2025, the Company entered into an inducement offer letter agreements with certain holders of the Series A Warrants and the January 2025 Warrants, which reduced the exercise price of the Series A Warrants from $5.206 to $1.31 per share, and the January 2025 Warrants from 2.36 to $1.31 per share. The difference between the fair value of the warrants immediately prior to and following modification was treated as a transaction cost, which is netted against proceeds received. The difference in fair value for the Series A Warrants was $1,423,166, and the difference in fair value for the January 2025 Warrants was $97,746. Both were calculated using the Black-Scholes option-pricing model and were based on the following assumptions: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Remaining Life</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9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Risk-Free Rate</w:t>
            </w:r>
          </w:p>
        </w:tc>
        <w:tc>
          <w:tcPr>
            <w:tcW w:w="15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Dividend</w:t>
            </w:r>
          </w:p>
        </w:tc>
      </w:tr>
      <w:tr>
        <w:trPr>
          <w:trHeight w:val="238"/>
        </w:trPr>
        <w:tc>
          <w:tcPr>
            <w:tcW w:w="2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2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Series A</w:t>
            </w:r>
          </w:p>
        </w:tc>
        <w:tc>
          <w:tcPr>
            <w:tcW w:w="2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19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4.12</w:t>
            </w:r>
          </w:p>
        </w:tc>
        <w:tc>
          <w:tcPr>
            <w:tcW w:w="1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129.9%</w:t>
            </w:r>
          </w:p>
        </w:tc>
        <w:tc>
          <w:tcPr>
            <w:tcW w:w="1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3.78%</w:t>
            </w:r>
          </w:p>
        </w:tc>
        <w:tc>
          <w:tcPr>
            <w:tcW w:w="1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January 2025</w:t>
            </w:r>
          </w:p>
        </w:tc>
        <w:tc>
          <w:tcPr>
            <w:tcW w:w="2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1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4.39</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129.9%</w:t>
            </w: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3.77%</w:t>
            </w:r>
          </w:p>
        </w:tc>
        <w:tc>
          <w:tcPr>
            <w:tcW w:w="1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August 2025, 4,384,749 shares were issued upon exercise of Series A Warrants, and 599,193 shares were issued upon exercise of January 2025 Warrants, and the difference in fair value was netted against the gross proceeds along with other issuance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adopted two stock-based compensation plans, the 2021 Incentive Award Plan (the “2021 Plan”) and the 2021 Employee Stock Purchase Plan (the “2021 ESPP”).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2021 Plan is to enhance the Company’s ability to attract, retain and motivate persons who make (or are expected to make) important contributions to the Company by providing these individuals with equity ownership opportunities. Various stock-based awards may be granted under the 2021 Plan to eligible employees, consultants, and non-employee directors, including options and RSUs.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issued under the 2021 Plan is subject to an initial limit and is adjusted annually pursuant to an evergreen provision. No more than 1,000,000 shares may be issued pursuant to the exercise of incentive stock options. The aggregate share limit will be subject to an annual increase on the first day of each calendar year ending on and including January 1, 2031, by a number of shares equal to the lesser of (i) a number equal to 5% of the aggregate number of shares of the Company's common stock outstanding on the final day of the immediately preceding calendar year and (ii) such smaller number of shares as is determined by the Company's board or committee.</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type of award, number of shares subject to the award, exercise price (if any), vesting provisions (if any), and other terms of the awards will be determined at date of grant; however, the exercise price of options shall not be less than 100% of the fair value on the grant date and the term of options shall not exceed ten years. As of December 31, 2025, awards covering an aggregate of 872,762 shares were eligible to be issued under the 2021 Plan, of which 215,079 shares underlying options and 560,649 shares underlying RSUs had been granted. On January 1, 2026, an aggregate of 489,086 shares were added to the plan reserve pursuant to the evergreen provision based on the number of shares outstanding as of December 31, 2025.</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RSUs covering an aggregate of 560,000 shares and options covering an aggregate of 203,278 shares, and canceled options covering an aggregate of 104 shares under the 2021 Plan. The stock-based compensation expenses incurred during the years ended December 31, 2025 and 2024 were $1,163,654 and $581,504,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purpose of the 2021 ESPP is to assist eligible employees of the Company in acquiring stock ownership in the Company and to help such employees provide for their future security and to encourage them to remain in the employment of the Company. The 2021 ESPP consists of a Section 423 Component and Non-Section 423 Component. The Section 423 Component is intended to qualify as an employee stock purchase plan and also authorizes the grant of options. Options granted under the Non-Section 423 Component shall be granted pursuant to separate offerings containing sub-plans. The Company may make one or more offerings under the 2021 ESPP. The duration and timing of each offering period may be established or changed by the board, but in no event may an offering period exceed 27 months and in no event may the purchase period for the option exceed the duration of the offering period under which it is established. On each exercise date for an offering period, each participant shall automatically be deemed to have exercised the option to purchase the largest number of whole shares which can be purchased under the offering. Option awards are generally granted with an exercise price equal to 85% of the lesser of the fair market value of a share on (a) the applicable grant date and (b) the applicable exercise date, or such other price as designated by the administrator. The maximum number of shares granted under the 2021 ESPP shall not exceed 25,000 shares.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5" w:name="page76"/>
    <w:bookmarkEnd w:id="75"/>
    <w:p>
      <w:pPr>
        <w:spacing w:after="0" w:line="282" w:lineRule="auto"/>
        <w:rPr>
          <w:sz w:val="20"/>
          <w:szCs w:val="20"/>
          <w:color w:val="auto"/>
        </w:rPr>
      </w:pPr>
      <w:r>
        <w:rPr>
          <w:rFonts w:ascii="Times New Roman" w:cs="Times New Roman" w:eastAsia="Times New Roman" w:hAnsi="Times New Roman"/>
          <w:sz w:val="18"/>
          <w:szCs w:val="18"/>
          <w:color w:val="auto"/>
        </w:rPr>
        <w:t>As of December 31, 2025, an aggregate of 524,051 shares were eligible to be issued under the 2021 ESPP. On January 1, 2026, an aggregate of 97,817 shares were added to the plan reserve pursuant to the evergreen provision based on the number of shares outstanding as of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have been issued under the 2021 ESPP.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computed the fair value of options granted during the year ended December 31, 2025 using the following assumptions: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r>
      <w:tr>
        <w:trPr>
          <w:trHeight w:val="216"/>
        </w:trPr>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dividends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4"/>
        </w:trPr>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free rate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414"/>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computed the fair value of options granted during the year ended December 31, 2024 using the following assumptions:</w:t>
            </w:r>
          </w:p>
        </w:tc>
        <w:tc>
          <w:tcPr>
            <w:tcW w:w="980" w:type="dxa"/>
            <w:vAlign w:val="bottom"/>
          </w:tcPr>
          <w:p>
            <w:pPr>
              <w:spacing w:after="0"/>
              <w:rPr>
                <w:sz w:val="24"/>
                <w:szCs w:val="24"/>
                <w:color w:val="auto"/>
              </w:rPr>
            </w:pPr>
          </w:p>
        </w:tc>
      </w:tr>
      <w:tr>
        <w:trPr>
          <w:trHeight w:val="216"/>
        </w:trPr>
        <w:tc>
          <w:tcPr>
            <w:tcW w:w="10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r>
      <w:tr>
        <w:trPr>
          <w:trHeight w:val="216"/>
        </w:trPr>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dividends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4"/>
        </w:trPr>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free rate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“simplified method” to estimate expected term. Under the simplified method, an option’s expected term is calculated as the time until expiration.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option activity under the 2021 Plan during the year ended December 31, 2025: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term (in years)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3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203,278</w:t>
            </w:r>
          </w:p>
        </w:tc>
        <w:tc>
          <w:tcPr>
            <w:tcW w:w="1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0.78</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345.00</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214,604</w:t>
            </w:r>
          </w:p>
        </w:tc>
        <w:tc>
          <w:tcPr>
            <w:tcW w:w="2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34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line="20" w:lineRule="exact"/>
              <w:rPr>
                <w:sz w:val="1"/>
                <w:szCs w:val="1"/>
                <w:color w:val="auto"/>
              </w:rPr>
            </w:pPr>
          </w:p>
        </w:tc>
      </w:tr>
      <w:tr>
        <w:trPr>
          <w:trHeight w:val="201"/>
        </w:trPr>
        <w:tc>
          <w:tcPr>
            <w:tcW w:w="496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214,217</w:t>
            </w:r>
          </w:p>
        </w:tc>
        <w:tc>
          <w:tcPr>
            <w:tcW w:w="2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19.66</w:t>
            </w:r>
          </w:p>
        </w:tc>
        <w:tc>
          <w:tcPr>
            <w:tcW w:w="340" w:type="dxa"/>
            <w:vAlign w:val="bottom"/>
            <w:vMerge w:val="continue"/>
          </w:tcPr>
          <w:p>
            <w:pPr>
              <w:spacing w:after="0"/>
              <w:rPr>
                <w:sz w:val="17"/>
                <w:szCs w:val="17"/>
                <w:color w:val="auto"/>
              </w:rPr>
            </w:pPr>
          </w:p>
        </w:tc>
        <w:tc>
          <w:tcPr>
            <w:tcW w:w="20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9.41</w:t>
            </w: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During the years ended December 31, 2025 and 2024, the weighted-average grant-date fair value of the options granted to employees and non-employees was $197,444 and $312,873,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options granted in July 2025 were vested as to 100% of the underlying shares at the time of grant. The options granted in March 2024 vested as to 50% of the underlying shares at the time of grant and the remaining shares are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subject to vesting in 12 equal consecutive quarterly installments commencing September 30, 2024 such that the option will become fully vested on March 31, 2027.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under the 2021 Plan during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grant-date fair</w:t>
            </w:r>
          </w:p>
        </w:tc>
        <w:tc>
          <w:tcPr>
            <w:tcW w:w="0" w:type="dxa"/>
            <w:vAlign w:val="bottom"/>
          </w:tcPr>
          <w:p>
            <w:pPr>
              <w:spacing w:after="0"/>
              <w:rPr>
                <w:sz w:val="1"/>
                <w:szCs w:val="1"/>
                <w:color w:val="auto"/>
              </w:rPr>
            </w:pPr>
          </w:p>
        </w:tc>
      </w:tr>
      <w:tr>
        <w:trPr>
          <w:trHeight w:val="238"/>
        </w:trPr>
        <w:tc>
          <w:tcPr>
            <w:tcW w:w="8100" w:type="dxa"/>
            <w:vAlign w:val="bottom"/>
          </w:tcPr>
          <w:p>
            <w:pPr>
              <w:spacing w:after="0"/>
              <w:rPr>
                <w:sz w:val="20"/>
                <w:szCs w:val="20"/>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20" w:type="dxa"/>
            <w:vAlign w:val="bottom"/>
          </w:tcPr>
          <w:p>
            <w:pPr>
              <w:spacing w:after="0"/>
              <w:rPr>
                <w:sz w:val="20"/>
                <w:szCs w:val="20"/>
                <w:color w:val="auto"/>
              </w:rPr>
            </w:pPr>
          </w:p>
        </w:tc>
        <w:tc>
          <w:tcPr>
            <w:tcW w:w="1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560,000</w:t>
            </w:r>
          </w:p>
        </w:tc>
        <w:tc>
          <w:tcPr>
            <w:tcW w:w="1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There was no unrecognized compensation cost related to non-vested RSUs as of December 31, 2025.</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Reserved for Future Issuance</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shares of common stock reserved for future issuance as of December 31, 2025:</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 – 2021 Plan</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Series A Warrants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901,943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Series B Warrants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January 2025 Warrants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 of RSUs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23"/>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shares of common stock reserved for future issuances</w:t>
            </w:r>
          </w:p>
        </w:tc>
        <w:tc>
          <w:tcPr>
            <w:tcW w:w="9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1,773,622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10.</w:t>
      </w:r>
      <w:r>
        <w:rPr>
          <w:sz w:val="20"/>
          <w:szCs w:val="20"/>
          <w:color w:val="auto"/>
        </w:rPr>
        <w:tab/>
      </w:r>
      <w:r>
        <w:rPr>
          <w:rFonts w:ascii="Times New Roman" w:cs="Times New Roman" w:eastAsia="Times New Roman" w:hAnsi="Times New Roman"/>
          <w:sz w:val="17"/>
          <w:szCs w:val="17"/>
          <w:b w:val="1"/>
          <w:bCs w:val="1"/>
          <w:i w:val="1"/>
          <w:iCs w:val="1"/>
          <w:color w:val="auto"/>
        </w:rPr>
        <w:t>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focuses on the design, assembly, manufacturing, and sale of LiFePO4 batteries and supporting accessories for RVs, marine, and industrial applications. The Company sells to wholesalers, distributors, and OEMs, as well as directly to consumers.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identified one reportable segment: Energy Storage (ES). This segment generates revenue in North America, and the Company manages its product sales and associated expenses on a total basis.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for this segment align with those outlined in the summary of significant accounting policies. The Chief Operating Decision Maker (CODM) is the Chief Executive Officer. The CODM assesses the performance of this segment and allocates resources based on net income or loss, which is reflected on the Statements of Operations. The measure of segment assets is total assets, which is reflected on the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evaluates the net income or loss from our one reportable segment. Net income or loss is also utilized to monitor the difference between budgeted and actual results. Additionally, the CODM employs net income or loss for competitive analysis by comparing its financial performance with other competitors in the Energy Storage (ES) space.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11.</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losses before income taxes for the years ended December 31, 2025 and 2024 were generated primarily from U.S.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current or deferred provision for income taxes from continuing operations for the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differences between the U.S. Federal statutory rate and our effective rate for financial reporting purposes are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540" w:type="dxa"/>
            <w:vAlign w:val="bottom"/>
            <w:tcBorders>
              <w:bottom w:val="single" w:sz="8" w:color="auto"/>
            </w:tcBorders>
            <w:gridSpan w:val="5"/>
          </w:tcPr>
          <w:p>
            <w:pPr>
              <w:ind w:left="144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10"/>
        </w:trPr>
        <w:tc>
          <w:tcPr>
            <w:tcW w:w="62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7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7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NQSO Comp – Other</w:t>
            </w: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 Comp – Other</w:t>
            </w:r>
          </w:p>
        </w:tc>
        <w:tc>
          <w:tcPr>
            <w:tcW w:w="16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True-up Adjustment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for the year ended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assets and liabilities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2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8,112,158</w:t>
            </w:r>
          </w:p>
        </w:tc>
        <w:tc>
          <w:tcPr>
            <w:tcW w:w="880" w:type="dxa"/>
            <w:vAlign w:val="bottom"/>
          </w:tcPr>
          <w:p>
            <w:pPr>
              <w:spacing w:after="0"/>
              <w:rPr>
                <w:sz w:val="18"/>
                <w:szCs w:val="18"/>
                <w:color w:val="auto"/>
              </w:rPr>
            </w:pP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6,274,519</w:t>
            </w: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528,359</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170,064</w:t>
            </w: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143,468</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12,784</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138,334</w:t>
            </w: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256,179</w:t>
            </w:r>
          </w:p>
        </w:tc>
      </w:tr>
      <w:tr>
        <w:trPr>
          <w:trHeight w:val="210"/>
        </w:trPr>
        <w:tc>
          <w:tcPr>
            <w:tcW w:w="4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8,796,769</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6,839,096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(8,796,769)</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(6,839,096)</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5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 financial reporting purposes, the Company incurred losses for the years ended December 31, 2025 and 2024 and for each period since inception. Accordingly, no benefit for income taxes has been recorded due to the uncertainty of the realization of any tax assets. At December 31, 2025, the Company had approximately $30,945,899 of federal and state net operating losses.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income taxes as of the end of each year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Franchise Fees</w:t>
            </w:r>
          </w:p>
        </w:tc>
        <w:tc>
          <w:tcPr>
            <w:tcW w:w="16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8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amount of income tax benefit determined by applying the U.S statutory income tax rate to pre-tax loss is as follows:</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at federal statutory rate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(1,309,389)</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(2,839,422)</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6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(328,013)</w:t>
            </w:r>
          </w:p>
        </w:tc>
        <w:tc>
          <w:tcPr>
            <w:tcW w:w="4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(689,421)</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278,572</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w:t>
            </w:r>
          </w:p>
        </w:tc>
        <w:tc>
          <w:tcPr>
            <w:tcW w:w="26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(12,326)</w:t>
            </w:r>
          </w:p>
        </w:tc>
        <w:tc>
          <w:tcPr>
            <w:tcW w:w="4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(307,795)</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196,608</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1,957,673</w:t>
            </w:r>
          </w:p>
        </w:tc>
        <w:tc>
          <w:tcPr>
            <w:tcW w:w="4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3,053,661</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150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penalties and interest, for the year ended December 31, 2025 is zero.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Oregon. There are no ongoing examinations by taxing authorities at this time. The Company’s various tax years 2019 through 2025 remain open for examination by various taxing jurisdictions.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As of December 31, 2025, the Company has not accrued any penalties or interest related to uncertain tax positions.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anticipation of an initial public offering, the Company converted from a limited liability company to a C corporation, a taxable entity, effective November 1,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accrued $150 for state minimum income taxes each year, and did not accrue federal income taxes due to net losses in both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converting to a C corporation, the Company has incurred losses and consequently recorded no provision for state or federal income taxes for the years ended December 31, 2025 and 2024. The Company maintains a full valuation allowance on all deferred tax assets, as it has concluded that it is more likely than not that these assets will not be realized. As of December 31, 2025 and 2024, there were no material unrecognized tax benefits included in the accompanying balance sheets that would, if recognized, affect the effective tax rate.</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12.</w:t>
      </w:r>
      <w:r>
        <w:rPr>
          <w:sz w:val="20"/>
          <w:szCs w:val="20"/>
          <w:color w:val="auto"/>
        </w:rPr>
        <w:tab/>
      </w:r>
      <w:r>
        <w:rPr>
          <w:rFonts w:ascii="Times New Roman" w:cs="Times New Roman" w:eastAsia="Times New Roman" w:hAnsi="Times New Roman"/>
          <w:sz w:val="17"/>
          <w:szCs w:val="17"/>
          <w:b w:val="1"/>
          <w:bCs w:val="1"/>
          <w:i w:val="1"/>
          <w:iCs w:val="1"/>
          <w:color w:val="auto"/>
        </w:rPr>
        <w:t>401(k)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 401(k) Plan (“Plan”) for the benefit of its employees. Employees may contribute to the Plan within defined limits as defined by the Internal Revenue Service. Substantially all employees are eligible to participate in the Plan. The Company has the option to make profit-sharing contributions at its discretion. No profit-sharing contributions have been made.</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13.</w:t>
      </w:r>
      <w:r>
        <w:rPr>
          <w:sz w:val="20"/>
          <w:szCs w:val="20"/>
          <w:color w:val="auto"/>
        </w:rPr>
        <w:tab/>
      </w:r>
      <w:r>
        <w:rPr>
          <w:rFonts w:ascii="Times New Roman" w:cs="Times New Roman" w:eastAsia="Times New Roman" w:hAnsi="Times New Roman"/>
          <w:sz w:val="17"/>
          <w:szCs w:val="17"/>
          <w:b w:val="1"/>
          <w:bCs w:val="1"/>
          <w:i w:val="1"/>
          <w:iCs w:val="1"/>
          <w:color w:val="auto"/>
        </w:rPr>
        <w:t>Related-Party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were no related-party transactions requiring disclosure under SEC rules and no such transactions were contemplated.</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14.</w:t>
      </w:r>
      <w:r>
        <w:rPr>
          <w:sz w:val="20"/>
          <w:szCs w:val="20"/>
          <w:color w:val="auto"/>
        </w:rPr>
        <w:tab/>
      </w:r>
      <w:r>
        <w:rPr>
          <w:rFonts w:ascii="Times New Roman" w:cs="Times New Roman" w:eastAsia="Times New Roman" w:hAnsi="Times New Roman"/>
          <w:sz w:val="17"/>
          <w:szCs w:val="17"/>
          <w:b w:val="1"/>
          <w:bCs w:val="1"/>
          <w:i w:val="1"/>
          <w:iCs w:val="1"/>
          <w:color w:val="auto"/>
        </w:rPr>
        <w:t>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its financial statements for the year ended December 31, 2025 for subsequent events through the date the financial statements were available to be issued. The following subsequent events are noted: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2025 At-The-Market Issuance Sales Agreement</w:t>
      </w:r>
    </w:p>
    <w:p>
      <w:pPr>
        <w:spacing w:after="0" w:line="22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On December 12, 2025 the Company entered into an At-The-Market Issuance Sales Agreement. We commenced sales under the agreement in January 2026 and have sold an aggregate of 1,064,396 shares for net proceeds of approximately $932,567 as of March 11,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2026 Nasdaq Staff Determination Letter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29, 2026, the Company received a determination from the Staff stating that it did not meet the Minimum Bid Price Requirement and that the Staff had determined to delist its securities from the Nasdaq Capital Market subject to a compliance period. Nasdaq provided the Company with a 180-calendar day compliance period, or until July 28, 2026, to regain compliance with the listing rule. The Company is currently evaluating options to regain compliance and intends to timely regain compliance with the Minimum Bid Price Requirement. Under Nasdaq rules, the Company is currently eligible to conduct a reverse stock split of its common stock to regain compliance if necessary.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following is a summary of all material characteristics of the capital stock of Expion360 Inc. as set forth in our Articles of Incorporation, as amended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our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the applicable provisions of the Nevada Revised Statutes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 The summary does not purport to be complete and is qualified in its entirety by reference to our Articles and Bylaws, copies of which have been filed as exhibits to our public filings with the Securities and Exchange Commission, and applicable provisions of the NRS.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“we,” “our,” “us,” or the “Company” refer to Expion360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par value $0.001 per share, and 20,000,000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out of funds legally available for that purpose, subject to any preferential dividend rights of any outstanding shares of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9,781,739 shares of our common stock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not established a class of preferred stock and no shares of our preferred stock have been 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2021 Warrants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November 22, 2021, the Company issued warrants to purchase 5,602 shares of common stock at an exercise price of $332.00 per share (the “</w:t>
      </w:r>
      <w:r>
        <w:rPr>
          <w:rFonts w:ascii="Times New Roman" w:cs="Times New Roman" w:eastAsia="Times New Roman" w:hAnsi="Times New Roman"/>
          <w:sz w:val="18"/>
          <w:szCs w:val="18"/>
          <w:b w:val="1"/>
          <w:bCs w:val="1"/>
          <w:i w:val="1"/>
          <w:iCs w:val="1"/>
          <w:color w:val="auto"/>
        </w:rPr>
        <w:t>November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2021 Warrants</w:t>
      </w:r>
      <w:r>
        <w:rPr>
          <w:rFonts w:ascii="Times New Roman" w:cs="Times New Roman" w:eastAsia="Times New Roman" w:hAnsi="Times New Roman"/>
          <w:sz w:val="18"/>
          <w:szCs w:val="18"/>
          <w:color w:val="auto"/>
        </w:rPr>
        <w:t>”), and an expiration date of November 22, 2031. The November 2021 Warrants are subject to adjustment upon the occurrence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As of December 31, 2025, November 2021 Warrants to purchase an aggregate of 5,149 shares of common stock remained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the closing of the Company’s initial public offering, the Company issued warrants to purchase an aggregate of 1,490 shares of its common stock to Alexander Capital LP and Paulson Investment Company LLC at an exercise price of $910.00 per share, and an expiration date of March 31, 2027 (the “</w:t>
      </w:r>
      <w:r>
        <w:rPr>
          <w:rFonts w:ascii="Times New Roman" w:cs="Times New Roman" w:eastAsia="Times New Roman" w:hAnsi="Times New Roman"/>
          <w:sz w:val="18"/>
          <w:szCs w:val="18"/>
          <w:b w:val="1"/>
          <w:bCs w:val="1"/>
          <w:i w:val="1"/>
          <w:iCs w:val="1"/>
          <w:color w:val="auto"/>
        </w:rPr>
        <w:t>Underwriter Warrants</w:t>
      </w:r>
      <w:r>
        <w:rPr>
          <w:rFonts w:ascii="Times New Roman" w:cs="Times New Roman" w:eastAsia="Times New Roman" w:hAnsi="Times New Roman"/>
          <w:sz w:val="18"/>
          <w:szCs w:val="18"/>
          <w:color w:val="auto"/>
        </w:rPr>
        <w:t>”). On May 2, 2024, the Company entered into amendments to certain of the Underwriter Warrants that had the effect of reducing the exercise price from $910.00 to $450.00 per share for 891 of the Underwriter Warrants, while 599 of the Underwriter Warrants continue to have an exercise price of $910.00 per share. The Underwriter Warrants are subject to adjustment upon the occurrence of certain events. As of December 31, 2025, Underwriter Warrants to purchase an aggregate of 1,490 shares of common stock remained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2024 Warrants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August 8, 2024, the Company sold in a public offering, (i) 33,402,000 common units (the “</w:t>
      </w:r>
      <w:r>
        <w:rPr>
          <w:rFonts w:ascii="Times New Roman" w:cs="Times New Roman" w:eastAsia="Times New Roman" w:hAnsi="Times New Roman"/>
          <w:sz w:val="18"/>
          <w:szCs w:val="18"/>
          <w:b w:val="1"/>
          <w:bCs w:val="1"/>
          <w:i w:val="1"/>
          <w:iCs w:val="1"/>
          <w:color w:val="auto"/>
        </w:rPr>
        <w:t>Common Units</w:t>
      </w:r>
      <w:r>
        <w:rPr>
          <w:rFonts w:ascii="Times New Roman" w:cs="Times New Roman" w:eastAsia="Times New Roman" w:hAnsi="Times New Roman"/>
          <w:sz w:val="18"/>
          <w:szCs w:val="18"/>
          <w:color w:val="auto"/>
        </w:rPr>
        <w:t>”), each consisting of one share of common stock, two Series A warrants each to purchase one share of common stock (each, a “</w:t>
      </w:r>
      <w:r>
        <w:rPr>
          <w:rFonts w:ascii="Times New Roman" w:cs="Times New Roman" w:eastAsia="Times New Roman" w:hAnsi="Times New Roman"/>
          <w:sz w:val="18"/>
          <w:szCs w:val="18"/>
          <w:b w:val="1"/>
          <w:bCs w:val="1"/>
          <w:i w:val="1"/>
          <w:iCs w:val="1"/>
          <w:color w:val="auto"/>
        </w:rPr>
        <w:t>Series A Warrant</w:t>
      </w:r>
      <w:r>
        <w:rPr>
          <w:rFonts w:ascii="Times New Roman" w:cs="Times New Roman" w:eastAsia="Times New Roman" w:hAnsi="Times New Roman"/>
          <w:sz w:val="18"/>
          <w:szCs w:val="18"/>
          <w:color w:val="auto"/>
        </w:rPr>
        <w:t>”) and one Series B warrant to purchase such number of shares of common stock as determined in the Series B warrant (each, a “</w:t>
      </w:r>
      <w:r>
        <w:rPr>
          <w:rFonts w:ascii="Times New Roman" w:cs="Times New Roman" w:eastAsia="Times New Roman" w:hAnsi="Times New Roman"/>
          <w:sz w:val="18"/>
          <w:szCs w:val="18"/>
          <w:b w:val="1"/>
          <w:bCs w:val="1"/>
          <w:i w:val="1"/>
          <w:iCs w:val="1"/>
          <w:color w:val="auto"/>
        </w:rPr>
        <w:t>Series B Warrant</w:t>
      </w:r>
      <w:r>
        <w:rPr>
          <w:rFonts w:ascii="Times New Roman" w:cs="Times New Roman" w:eastAsia="Times New Roman" w:hAnsi="Times New Roman"/>
          <w:sz w:val="18"/>
          <w:szCs w:val="18"/>
          <w:color w:val="auto"/>
        </w:rPr>
        <w:t>”), and (ii) 16,598,000 pre-funded units, each consisting of one pre-funded warrant to purchase one share of common stock, two Series A Warrants, and one Series B Warrant.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Series A Warrant became exercisable on September 30, 2024, and will expire five years from such date. Each Series A Warrant was initially exercisable at an exercise price of $24.00 per share of common stock. The exercise price of the Series A Warrants was subsequently reduced to $5.206 consistent with the terms of the Series A Warrants.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212529"/>
        </w:rPr>
        <w:t xml:space="preserve">On August 14, 2025, the Company entered into inducement offer letter agreements with certain holders of the Series A Warrants, which reduced the exercise price from $5.206 to $1.31 per share. </w:t>
      </w:r>
      <w:r>
        <w:rPr>
          <w:rFonts w:ascii="Times New Roman" w:cs="Times New Roman" w:eastAsia="Times New Roman" w:hAnsi="Times New Roman"/>
          <w:sz w:val="18"/>
          <w:szCs w:val="18"/>
          <w:color w:val="000000"/>
        </w:rPr>
        <w:t>On August 22, 2025, the exercise price of all of the outstanding Series A Warrants was reduced from $5.206</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per share to $1.31 per share. As of December 31, 2025, Series A Warrants to purchase an aggregate of 901,943 shares of common stock remained outstanding.</w:t>
      </w:r>
    </w:p>
    <w:p>
      <w:pPr>
        <w:spacing w:after="0" w:line="1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Series B Warrant was exercisable immediately upon issuance at an exercise price of $0.10 per share. As of December 31, 2025, Series B Warrants to purchase an aggregate of 2,132 shares of common stock remained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2025 Warrants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January 3, 2025, the Company sold in a public offering (i) 474,193 shares of common stock, (ii) pre-funded warrants (the “</w:t>
      </w:r>
      <w:r>
        <w:rPr>
          <w:rFonts w:ascii="Times New Roman" w:cs="Times New Roman" w:eastAsia="Times New Roman" w:hAnsi="Times New Roman"/>
          <w:sz w:val="18"/>
          <w:szCs w:val="18"/>
          <w:b w:val="1"/>
          <w:bCs w:val="1"/>
          <w:i w:val="1"/>
          <w:iCs w:val="1"/>
          <w:color w:val="auto"/>
        </w:rPr>
        <w:t>January 2025 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574,193 shares of common stock, and (iii) warrants to purchase 1,048,386 shares of common stock at an exercise price of $2.36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i w:val="1"/>
          <w:iCs w:val="1"/>
          <w:color w:val="auto"/>
        </w:rPr>
        <w:t>January 2025 Warrants</w:t>
      </w:r>
      <w:r>
        <w:rPr>
          <w:rFonts w:ascii="Times New Roman" w:cs="Times New Roman" w:eastAsia="Times New Roman" w:hAnsi="Times New Roman"/>
          <w:sz w:val="18"/>
          <w:szCs w:val="18"/>
          <w:color w:val="auto"/>
        </w:rPr>
        <w:t>”). The January 2025 Pre-Funded Warrants were all exercised immediately upon issuance.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On August 14, 2025, the Company entered into inducement offer letter agreements with certain holders of the January 2025 Warrants, which reduced the exercise price from $2.36 to $1.31 per share. </w:t>
      </w:r>
      <w:r>
        <w:rPr>
          <w:rFonts w:ascii="Times New Roman" w:cs="Times New Roman" w:eastAsia="Times New Roman" w:hAnsi="Times New Roman"/>
          <w:sz w:val="18"/>
          <w:szCs w:val="18"/>
          <w:color w:val="000000"/>
        </w:rPr>
        <w:t>On August 22, 2025, the exercise price of all of the outstanding January 2025 Warrants was reduced from</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$2.36 to $1.31 per share. As of December 31, 2025, January 2025 Warrants to purchase an aggregate of 449,193 shares of common stock remained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2025 Warrants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16, 2025, the Company sold in a private placement (i) 613,077 shares of common stock, and (ii) a pre-funded warrant (the “</w:t>
      </w:r>
      <w:r>
        <w:rPr>
          <w:rFonts w:ascii="Times New Roman" w:cs="Times New Roman" w:eastAsia="Times New Roman" w:hAnsi="Times New Roman"/>
          <w:sz w:val="18"/>
          <w:szCs w:val="18"/>
          <w:b w:val="1"/>
          <w:bCs w:val="1"/>
          <w:i w:val="1"/>
          <w:iCs w:val="1"/>
          <w:color w:val="auto"/>
        </w:rPr>
        <w:t>October 2025 Pre-Funded Warrant</w:t>
      </w:r>
      <w:r>
        <w:rPr>
          <w:rFonts w:ascii="Times New Roman" w:cs="Times New Roman" w:eastAsia="Times New Roman" w:hAnsi="Times New Roman"/>
          <w:sz w:val="18"/>
          <w:szCs w:val="18"/>
          <w:color w:val="auto"/>
        </w:rPr>
        <w:t>”) to purchase up to 144,498 shares of common stock. The October 2025 Pre-Funded Warrant is exercisable immediately upon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cash or on a cashless basis at the discretion of the holder. The number of pre-funded warrant shares that may be issuable is subject to adjustment for stock splits, recapitalizations, and reorganizations. The holder of the October 2025 Pre-Funded Warrant does not have any voting rights, but does have the right to participate in any dividends or distributions made by the Company. As of December 31, 2025, October 2025 Pre-Funded Warrants to purchase an aggregate of 144,498 shares of common stock remained outstanding.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warrants to purchase shares of our preferred stock, or any other class of our capital stock, have been 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As of December 31, 2025, the Company had adopted two stock-based compensation plans, the 2021 Incentive Award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and the 2021 Employee Stock Purchase Plan (the “</w:t>
      </w:r>
      <w:r>
        <w:rPr>
          <w:rFonts w:ascii="Times New Roman" w:cs="Times New Roman" w:eastAsia="Times New Roman" w:hAnsi="Times New Roman"/>
          <w:sz w:val="18"/>
          <w:szCs w:val="18"/>
          <w:b w:val="1"/>
          <w:bCs w:val="1"/>
          <w:i w:val="1"/>
          <w:iCs w:val="1"/>
          <w:color w:val="auto"/>
        </w:rPr>
        <w:t>2021 ESPP</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the 2021 Plan is to enhance the Company’s ability to attract, retain, and motivate persons who make (or are expected to make) important contributions to the Company by providing these individuals with equity ownership opportunities. Various stock-based awards may be granted under the 2021 Plan to eligible employees, consultants, and non-employee directors, including options and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The number of shares issued under the 2021 Plan is subject to an initial limit and is adjusted annually pursuant to an evergreen provision.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awards covering an aggregate of 872,762 shares were eligible to be issued under the 2021 Plan, of which 215,079 shares underlying options and 560,649 shares underlying RSUs had been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the 2021 ESPP is to assist eligible employees of the Company in acquiring stock ownership in the Company and to help such employees provide for their future security and to encourage them to remain in the employment of the Company. The Company may make one or more offerings under the 2021 ESPP. The duration and timing of each offering period may be established or changed by the Board, but in no event may an offering period exceed 27 months and in no event may the purchase period for the option exceed the duration of the offering period under which it is established. Option awards are generally granted with an exercise price equal to 85% of the lesser of the fair market value of a share on (a) the applicable grant date and (b) the applicable exercise date, or such other price as designated by the administrator.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have been issued under the 2021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the NRS, and our Articles and Bylaws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relevant provisions of the NRS and our Articles and Bylaws may have the effect of delaying, deferring, or preventing another party from acquiring control of the company. These provisions may discourage and prevent coercive takeover practices and inadequate takeover bids.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NRS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NRS contain a provision governing the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Our Articles and Bylaws do not exempt our common stock from the control share acquisition act.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share acquisition act is applicable only to shares of “issuing corporations” as defined pursuant to the NRS. An issuing corporation is a Nevada corporation which: (i) has 200 or more stockholders, with at least 100 of such stockholders being both stockholders of record and residents of Nevada, and</w:t>
      </w:r>
    </w:p>
    <w:p>
      <w:pPr>
        <w:jc w:val="both"/>
        <w:ind w:firstLine="8"/>
        <w:spacing w:after="0" w:line="253" w:lineRule="auto"/>
        <w:tabs>
          <w:tab w:leader="none" w:pos="2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business in Nevada directly or through an affiliated corporation. At this time, we do not believe we have 100 stockholders of record resident of Nevada, and we do not conduct business in Nevada directly. Therefore, we do not believe the provisions of the control share acquisition act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best interest of our stockholders.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Nevada “combination with interested stockholders statute” may also have an effect of delaying or making it more difficult to effect a change in control of us. This statute prevents an “interested stockholder” and a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8"/>
          <w:szCs w:val="18"/>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before the interested stockholder acquired such shares. If approval is not obtained, then after the expiration of the three-year period, the business combination may be consummated with the approval of the Board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Election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Articles and Bylaws provide that we shall have at least one and not more than 11 directors. The number of directors within this range may be established and changed from time to time by resolution adopted by the Board. Each director shall hold office until his or her successor shall be elected or appointed and qualified or until his or her earlier death, retirement, disqualification, resignation, or removal. The Bylaws provide for the annual election of directors. Any vacancies on the Board, and newly created directorships, may be filled by a majority vote of the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Except as otherwise provided in the NRS, any director may be removed from office with or without cause by the affirmative vote of the holders of not less than two-thirds (2/3) of the voting power of the outstanding capital stock. In addition, a majority of the directors may declare vacant the office of a director who has been declared incompetent by an order of a court of competent jurisdiction, convicted of a felony, or found to be unsuitable to serve as a director.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action shall be taken by our stockholders except at an annual or special meeting of stockholders called and noticed in the manner required by the Bylaws. Our stockholders are not permitted to take action by written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meetings of our stockholders may only be called by the Chairman of the Board or the Chief Executive Officer, and shall be called by the Secretary upon the written request of at least a majority of the authorized number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NRS requires cumulative voting rights to be provided for within the articles of incorporation. Our Articles are silent as to cumulative voting so our stockholders are not permitted to cumulate votes with respect to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Charter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any vote required by the NRS, any amendment of any provision of the Articles must be approved by (a) a majority of the members of the Board, and (b) depending on the Article to be amended, by either (i) the affirmative vote of the holders of a majority of the voting power of the outstanding capital stock, or (ii) the affirmative vote of the holders of at least two-thirds of the voting power of the outstanding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annual or special meeting of stockholders, proposals by stockholders and director nominations by stockholders will be considered only if advance notice has been provided by the stockholder as required by the Bylaws. The Bylaws contain specific requirements for the information that must be provided by a stockholder in connection with delivering notice of any such proposals. Notice must generally be delivered to the Company not less than 60 nor more than 90 days prior to the day of the applicable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Provision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include a mandatory forum provision which provides that, to the fullest extent permitted by law, the Nevada Eighth Judicial District of Clark County, Nevada shall be the sole and exclusive forum for: (a) any derivative action or proceeding brought in the name or right of the Company or on its behalf, (b) any action asserting a claim for breach of any fiduciary duty owed by any director, officer, employee or agent of the Company to the Company or the Company's stockholders, (c) any action arising or asserting a claim arising pursuant to certain provisions of the NRS, or any provision of the Articles or Bylaws, (d) any action to interpret, apply, enforce, or determine the validity of the Articles or Bylaws or (e) any action asserting a claim governed by the internal affairs doctrine.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exclusive forum provision would not apply to suits brought to enforce any liability or duty created by the Securities Act or the Exchange Act, or any other claim for which federal courts have exclusive jurisdiction. To the extent that any such claims may be based upon federal law, the Exchange Act creates exclusive federal jurisdiction over all suits brought to enforce any duty or liability created by the Exchange Act, or the rules and regulations thereunder. Furthermore, the Securities Act creates concurrent jurisdiction for federal and state courts over all suits brought to enforce any duty or liability created by the Securities Act, or the rules and regulations thereunder, and would preempt the exclusive forum provisions in our Articles with respect to such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Act Registration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is the only class of our securities registered under Section 12 of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ectPr>
          <w:pgSz w:w="11900" w:h="16838" w:orient="portrait"/>
          <w:cols w:equalWidth="0" w:num="1">
            <w:col w:w="11240"/>
          </w:cols>
          <w:pgMar w:left="320" w:top="796" w:right="339" w:bottom="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“XPON”.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Pacific Stock Transfer Company. The address for Pacific Stock Transfer is: 6725 Via Austi Pkwy, Suite 300, Las Vegas, Nevada 89119, and the telephone number is (800) 785-7782.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19685</wp:posOffset>
            </wp:positionV>
            <wp:extent cx="3000375" cy="8572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300037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Indemnification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effective as of [Ÿ], by and between Expion360 Inc., a Nevada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recognizes that competent and experienced persons are increasingly reluctant to serve or to continue to serve as directors or officers of publicly-held corporations unless they are protected by liability insurance or indemnification, or both, against inordinate risks of claims and actions against them arising out of their service to and activities on behalf of the corporation;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to induce Indemnitee to serve or continue to serve as a director or officer of the Company, the Company has determined to grant to Indemnitee, as permitted by Sections 78.7502 and 78.751 of the Nevada Revised Statutes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rights to indemnification and advancement of expenses, to the maximum extent permitted by law, as provided herein, whether or not expressly provided in the Articles of Incorporation as now in effect and as may be amended and/or restated from time to time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or the Bylaws of the Company as now in effect and as may be amended and/or restated from time to time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it is reasonable, prudent and necessary for the Company contractually to obligate itself to indemnify, and to advance expenses on behalf of, Indemnitee to the fullest extent permitted by applicable law so that Indemnitee will serve or continue to serve the Company free from undue concern that he or she will not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Indemnitee’s agreement to provide, or continue to provide, services to the Company, the Company and Indemnitee hereby agree as set forth below.</w:t>
      </w:r>
    </w:p>
    <w:p>
      <w:pPr>
        <w:spacing w:after="0" w:line="158" w:lineRule="exact"/>
        <w:rPr>
          <w:sz w:val="20"/>
          <w:szCs w:val="20"/>
          <w:color w:val="auto"/>
        </w:rPr>
      </w:pPr>
    </w:p>
    <w:p>
      <w:pPr>
        <w:ind w:left="1640" w:hanging="984"/>
        <w:spacing w:after="0"/>
        <w:tabs>
          <w:tab w:leader="none" w:pos="1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Definitions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2260" w:hanging="956"/>
        <w:spacing w:after="0"/>
        <w:tabs>
          <w:tab w:leader="none" w:pos="2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44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after the date of this Agreement of any of the following events: (i) any “person” (as such term is used in Sections 13(d) and 14(d) of the Exchange Act), other than a subsidiary of the Company or a trustee or other fiduciary holding securities under an employee benefit plan of the Company or a subsidiary of the Company, is or becomes the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(as defined in Rule 13d-3 under the Exchange Act), directly or indirectly, of securities of the Company representing 50% or more of the total voting power represented by the Company’s then outstanding capital stock (unless the change in relative Beneficial Ownership of the Company’s securities by any person results solely from a reduction in the aggregate number of outstanding shares of the Company’s outstanding capital stock entitled to vote); (ii) 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of the Board;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more than 50% of the total voting power represented by the capital stock of the Company or such surviving entity outstanding immediately after such merger or consolidation; or (iv) the stockholders of the Company approve a plan of complete liquidation or dissolution of the Company or an agreement for the sale or disposition by the Company of all or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jc w:val="both"/>
        <w:ind w:left="-1120" w:firstLine="1304"/>
        <w:spacing w:after="0" w:line="256" w:lineRule="auto"/>
        <w:tabs>
          <w:tab w:leader="none" w:pos="13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shall be broadly construed to mean, without limitation, any threatened, pending or completed action, lawsuit, arbitration, or alternative dispute resolution process or mechanism, or any hearing, inquiry, investigation, or any other actual, threatened or completed proceeding, whether brought by or in the right of the Company or otherwise, and whether civil, criminal, administrative, or investigative, whether formal or informal, including a proceeding initiated by the Indemnitee pursuant to this Agreement to enforce Indemnitee’s rights hereunder (unless a final judicial determination is made that such action brought by Indemnitee was frivolous or not made in good faith), or that Indemnitee in good faith believes might lead to the institution of any of the foregoing.</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14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include, in addition to the Company, any constituent corporation (including any constituent of a constituent) absorbed in a consolidation or merger to which the Company (or any of its wholly owned subsidiaries) is a party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88" w:lineRule="exact"/>
        <w:rPr>
          <w:rFonts w:ascii="Times New Roman" w:cs="Times New Roman" w:eastAsia="Times New Roman" w:hAnsi="Times New Roman"/>
          <w:sz w:val="18"/>
          <w:szCs w:val="18"/>
          <w:color w:val="auto"/>
        </w:rPr>
      </w:pPr>
    </w:p>
    <w:p>
      <w:pPr>
        <w:ind w:left="1140" w:hanging="956"/>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13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be construed broadly to mean any and all direct and indirect fees and expenses of any type or nature whatsoever (including, but not limited to, attorneys’ fees and all other costs, expenses and obligations) incurred in connection with investigating, defending, being a witness in or participating in (including on appeal), or preparing to defend, to be a witness in or to participate in, any Claim. Expenses, however, shall not include amounts paid in settlement by Indemnitee or the amount of judgments or fines against Indemnitee.</w:t>
      </w:r>
    </w:p>
    <w:p>
      <w:pPr>
        <w:spacing w:after="0" w:line="179" w:lineRule="exact"/>
        <w:rPr>
          <w:rFonts w:ascii="Times New Roman" w:cs="Times New Roman" w:eastAsia="Times New Roman" w:hAnsi="Times New Roman"/>
          <w:sz w:val="18"/>
          <w:szCs w:val="18"/>
          <w:color w:val="auto"/>
        </w:rPr>
      </w:pPr>
    </w:p>
    <w:p>
      <w:pPr>
        <w:ind w:left="1120" w:hanging="936"/>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Advance</w:t>
      </w:r>
      <w:r>
        <w:rPr>
          <w:rFonts w:ascii="Times New Roman" w:cs="Times New Roman" w:eastAsia="Times New Roman" w:hAnsi="Times New Roman"/>
          <w:sz w:val="18"/>
          <w:szCs w:val="18"/>
          <w:color w:val="auto"/>
        </w:rPr>
        <w:t>” shall mean an advance payment of Expenses to Indemnitee pursuant to Section 3(a) hereof.</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11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Event</w:t>
      </w:r>
      <w:r>
        <w:rPr>
          <w:rFonts w:ascii="Times New Roman" w:cs="Times New Roman" w:eastAsia="Times New Roman" w:hAnsi="Times New Roman"/>
          <w:sz w:val="18"/>
          <w:szCs w:val="18"/>
          <w:color w:val="auto"/>
        </w:rPr>
        <w:t>” shall mean any event or occurrence, whether occurring before, on or after the date of this Agreement, related to the fact that Indemnitee is or was a director, officer, employee, agent or fiduciary of the Company, or any subsidiary of the Company, or is or was serving at the request of the Company as a director, officer, employee, member, manager, trustee, agent or fiduciary of another corporation, limited liability company, partnership, joint venture, trust or other enterprise, or by reason of any action or inaction on the part of Indemnitee while serving in such capacity (whether or not serving in such capacity at the time any Other Liabilities are incurred for which indemnification can be provided under this Agreement).</w:t>
      </w:r>
    </w:p>
    <w:p>
      <w:pPr>
        <w:spacing w:after="0" w:line="183" w:lineRule="exact"/>
        <w:rPr>
          <w:rFonts w:ascii="Times New Roman" w:cs="Times New Roman" w:eastAsia="Times New Roman" w:hAnsi="Times New Roman"/>
          <w:sz w:val="18"/>
          <w:szCs w:val="18"/>
          <w:color w:val="auto"/>
        </w:rPr>
      </w:pPr>
    </w:p>
    <w:p>
      <w:pPr>
        <w:ind w:left="-1120" w:firstLine="1304"/>
        <w:spacing w:after="0" w:line="282" w:lineRule="auto"/>
        <w:tabs>
          <w:tab w:leader="none" w:pos="12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shall mean those members of the Board consisting of directors who are not parties to the Claim in respect of which indemnification is sought by Indemnitee.</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2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Legal Counsel</w:t>
      </w:r>
      <w:r>
        <w:rPr>
          <w:rFonts w:ascii="Times New Roman" w:cs="Times New Roman" w:eastAsia="Times New Roman" w:hAnsi="Times New Roman"/>
          <w:sz w:val="18"/>
          <w:szCs w:val="18"/>
          <w:color w:val="auto"/>
        </w:rPr>
        <w:t>” shall mean an attorney or law firm of attorneys that is experienced in matters of corporation law, who shall not have otherwise performed services for either (i) the Company or Indemnitee within the last three years (other than with respect to matters concerning the rights of Indemnitee under this Agreement, or of other indemnitees under similar indemnity agreements) or (ii) any other party to the Claim giving rise to a claim for indemnification hereunder. Notwithstanding the foregoing, the term “Independent Legal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11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Liabilities</w:t>
      </w:r>
      <w:r>
        <w:rPr>
          <w:rFonts w:ascii="Times New Roman" w:cs="Times New Roman" w:eastAsia="Times New Roman" w:hAnsi="Times New Roman"/>
          <w:sz w:val="18"/>
          <w:szCs w:val="18"/>
          <w:color w:val="auto"/>
        </w:rPr>
        <w:t>” shall be broadly construed to mean, without limitation, all judgments, damages, liabilities, losses, fines, penalties, and amounts paid in settlement (if such settlement is approved in accordance with this Agreement, which approval shall not be unreasonably withheld) of any Claim regarding any Indemnifiable Event and any federal, state, local or foreign taxes imposed on the Indemnitee as a result of the actual or deemed receipt of any payments under this Agreement.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2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u w:val="single" w:color="auto"/>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u w:val="single" w:color="auto"/>
          <w:color w:val="auto"/>
        </w:rPr>
        <w:t>fines</w:t>
      </w:r>
      <w:r>
        <w:rPr>
          <w:rFonts w:ascii="Times New Roman" w:cs="Times New Roman" w:eastAsia="Times New Roman" w:hAnsi="Times New Roman"/>
          <w:sz w:val="18"/>
          <w:szCs w:val="18"/>
          <w:color w:val="auto"/>
        </w:rPr>
        <w:t>” shall include any excise taxes assessed on Indemnitee with respect to an employee benefit plan; and references to “</w:t>
      </w:r>
      <w:r>
        <w:rPr>
          <w:rFonts w:ascii="Times New Roman" w:cs="Times New Roman" w:eastAsia="Times New Roman" w:hAnsi="Times New Roman"/>
          <w:sz w:val="18"/>
          <w:szCs w:val="18"/>
          <w:u w:val="single" w:color="auto"/>
          <w:color w:val="auto"/>
        </w:rPr>
        <w:t>serving at 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w:t>
      </w:r>
      <w:r>
        <w:rPr>
          <w:rFonts w:ascii="Times New Roman" w:cs="Times New Roman" w:eastAsia="Times New Roman" w:hAnsi="Times New Roman"/>
          <w:sz w:val="18"/>
          <w:szCs w:val="18"/>
          <w:u w:val="single" w:color="auto"/>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6" w:name="page87"/>
    <w:bookmarkEnd w:id="86"/>
    <w:p>
      <w:pPr>
        <w:jc w:val="both"/>
        <w:ind w:left="-8" w:firstLine="1304"/>
        <w:spacing w:after="0" w:line="258" w:lineRule="auto"/>
        <w:tabs>
          <w:tab w:leader="none" w:pos="25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Reviewing Party</w:t>
      </w:r>
      <w:r>
        <w:rPr>
          <w:rFonts w:ascii="Times New Roman" w:cs="Times New Roman" w:eastAsia="Times New Roman" w:hAnsi="Times New Roman"/>
          <w:sz w:val="18"/>
          <w:szCs w:val="18"/>
          <w:color w:val="auto"/>
        </w:rPr>
        <w:t>” shall mean an election made from among the following: (i) those members of the Board who are Independent Directors even though less than a quorum; (ii) a committee of Independent Directors designated by a majority of the Independent Directors, even though less than a quorum; or (iii) if there are no such Independent Directors, then Independent Legal Counsel selected by the Indemnitee and approved by the Company (which approval shall not be unreasonably withheld), provided that notwithstanding the foregoing, following any Change in Control subsequent to the date of this Agreement, the Reviewing Party shall be Independent Legal Counsel selected in the manner provided herein.</w:t>
      </w:r>
    </w:p>
    <w:p>
      <w:pPr>
        <w:spacing w:after="0" w:line="179" w:lineRule="exact"/>
        <w:rPr>
          <w:rFonts w:ascii="Times New Roman" w:cs="Times New Roman" w:eastAsia="Times New Roman" w:hAnsi="Times New Roman"/>
          <w:sz w:val="18"/>
          <w:szCs w:val="18"/>
          <w:color w:val="auto"/>
        </w:rPr>
      </w:pPr>
    </w:p>
    <w:p>
      <w:pPr>
        <w:ind w:left="1632" w:hanging="984"/>
        <w:spacing w:after="0"/>
        <w:tabs>
          <w:tab w:leader="none" w:pos="1632"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1304"/>
        <w:spacing w:after="0" w:line="253" w:lineRule="auto"/>
        <w:tabs>
          <w:tab w:leader="none" w:pos="227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Expenses and Other Liabilities</w:t>
      </w:r>
      <w:r>
        <w:rPr>
          <w:rFonts w:ascii="Times New Roman" w:cs="Times New Roman" w:eastAsia="Times New Roman" w:hAnsi="Times New Roman"/>
          <w:sz w:val="18"/>
          <w:szCs w:val="18"/>
          <w:color w:val="auto"/>
        </w:rPr>
        <w:t xml:space="preserve">. The Company shall indemnify Indemnitee to the fullest extent permitted by law, as such may be amended from time to time, if Indemnitee was or is or becomes a party to or witness or other participant in, or is threatened to be made a party to or witness or other participant in, any Claim by reason of (or arising in part out of) any Indemnifiable Event against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Expenses and Other Liabilities, including all interest, assessments and other charges paid or payable in connection with or in respect of such Expenses. Indemnitee hereby agrees to repay to the Company all amounts advanced to Indemnitee hereunder if it is ultimately determined by a court of competent jurisdiction (after exhaustion of all appeals therefrom) that Indemnitee is not entitled to indemnification hereunder. Other than in respect of Expense Advances paid in accordance with Section 3(a) hereof, such payment of Expenses shall be made by the Company as soon as practicable but in any event no later than five</w:t>
      </w:r>
    </w:p>
    <w:p>
      <w:pPr>
        <w:spacing w:after="0" w:line="2"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written demand by Indemnitee therefor is presented to the Company.</w:t>
      </w:r>
    </w:p>
    <w:p>
      <w:pPr>
        <w:spacing w:after="0" w:line="206"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2325"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Right to Indemnification</w:t>
      </w:r>
      <w:r>
        <w:rPr>
          <w:rFonts w:ascii="Times New Roman" w:cs="Times New Roman" w:eastAsia="Times New Roman" w:hAnsi="Times New Roman"/>
          <w:sz w:val="18"/>
          <w:szCs w:val="18"/>
          <w:color w:val="auto"/>
        </w:rPr>
        <w:t>. Unless otherwise provided in Section 11 hereof, the Company shall indemnify Indemnitee pursuant to Section 2(a) hereof if Indemnitee has not failed to meet the applicable standard of conduct for indemnification. With respect to all matters arising concerning whether or not the Indemnitee has met the applicable standard of conduct, the Indemnitee shall be entitled to select the Reviewing Party (subject to and in accordance with the definition thereof). The Reviewing Party shall determine whether and to what extent Indemnitee would be permitted to be indemnified under applicable law, and the Company and Indemnitee agree to abide by such determination, which, if made by Independent Legal Counsel shall be made in a written opinion. The Company shall pay all reasonable fees and expenses of the Independent Legal Counsel, including in connection with any action pursuant to this Agreement.</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34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Payment of Expenses</w:t>
      </w:r>
      <w:r>
        <w:rPr>
          <w:rFonts w:ascii="Times New Roman" w:cs="Times New Roman" w:eastAsia="Times New Roman" w:hAnsi="Times New Roman"/>
          <w:sz w:val="18"/>
          <w:szCs w:val="18"/>
          <w:color w:val="auto"/>
        </w:rPr>
        <w:t>. Notwithstanding any other provision of this Agreement other than Section 11 hereof, to the extent that Indemnitee has been successful on the merits or otherwise, including, without limitation, the dismissal of a Claim without prejudice, in defense of any Claim regarding any Indemnifiable Event, Indemnitee shall be indemnified against all Expenses and Other Liabilities incurred by Indemnitee in connection therewith.</w:t>
      </w:r>
    </w:p>
    <w:p>
      <w:pPr>
        <w:spacing w:after="0" w:line="175" w:lineRule="exact"/>
        <w:rPr>
          <w:rFonts w:ascii="Times New Roman" w:cs="Times New Roman" w:eastAsia="Times New Roman" w:hAnsi="Times New Roman"/>
          <w:sz w:val="18"/>
          <w:szCs w:val="18"/>
          <w:color w:val="auto"/>
        </w:rPr>
      </w:pPr>
    </w:p>
    <w:p>
      <w:pPr>
        <w:ind w:left="1632" w:hanging="984"/>
        <w:spacing w:after="0"/>
        <w:tabs>
          <w:tab w:leader="none" w:pos="1632"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Indemnification Procedure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1304"/>
        <w:spacing w:after="0" w:line="254" w:lineRule="auto"/>
        <w:tabs>
          <w:tab w:leader="none" w:pos="237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The Company shall, prior to the final disposition of any Claim by final adjudication to which there are no further rights of appeal, advance all Expenses actually and reasonably paid or incurred by Indemnitee in connection with any Claim arising out of an Indemnifiable Event. Indemnitee's right to such advancement is not subject to the satisfaction of any standard of conduct. The advances to be made hereunder shall be paid by the Company to Indemnitee as soon as practicable but in any event no later than five (5) business days after written demand by Indemnitee therefor to the Company. Execution and delivery to the Company of this Agreement by Indemnitee constitutes an undertaking by the Indemnitee to repay to the Company all amounts advanced to Indemnitee hereunder if it is ultimately determined by a court of competent jurisdiction (after exhaustion of all appeals therefrom) that Indemnitee is not entitled to indemnification hereunder. No other form of undertaking shall be required other than the execution of this Agreement. The Company’s obligation to advance Expenses shall terminate with respect to any Claim as to which the Indemnitee shall have entered a guilty plea.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87" w:name="page88"/>
    <w:bookmarkEnd w:id="87"/>
    <w:p>
      <w:pPr>
        <w:jc w:val="both"/>
        <w:ind w:left="-656" w:firstLine="1304"/>
        <w:spacing w:after="0" w:line="254" w:lineRule="auto"/>
        <w:tabs>
          <w:tab w:leader="none" w:pos="15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Notice/Cooperation by Indemnitee</w:t>
      </w:r>
      <w:r>
        <w:rPr>
          <w:rFonts w:ascii="Times New Roman" w:cs="Times New Roman" w:eastAsia="Times New Roman" w:hAnsi="Times New Roman"/>
          <w:sz w:val="18"/>
          <w:szCs w:val="18"/>
          <w:color w:val="auto"/>
        </w:rPr>
        <w:t>. Indemnitee shall, as a condition precedent to Indemnitee’s right to be indemnified under this Agreement, give the Company Notice (defined below) as soon as practicable of any Claim made against Indemnitee for which indemnification will or could be sought under this Agreement; provided, however, that the failure to so provide Notice to the Company shall not relieve the Company from any liability unless, and only to the extent that, Indemnitee’s failure to provide such Notice shall have materially and adversely affected the Company’s ability to participate in the defense of such Claim. Notice to the Company shall be directed to the Chief Executive Officer of the Company at the address set forth in Section 15 hereof (or such other address as the Company shall designate in writing to Indemnitee). In addition, Indemnitee shall give the Company such information and cooperation as it may reasonably require and as shall be within Indemnitee’s power. The Company shall provide Indemnitee with such information and cooperation as Indemnitee may reasonably require, to the extent that doing so is consistent with the Company’s obligation to cooperate with regulatory or law enforcement agencies.</w:t>
      </w:r>
    </w:p>
    <w:p>
      <w:pPr>
        <w:spacing w:after="0" w:line="188"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83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Presumptions; Burden of Proof</w:t>
      </w:r>
      <w:r>
        <w:rPr>
          <w:rFonts w:ascii="Times New Roman" w:cs="Times New Roman" w:eastAsia="Times New Roman" w:hAnsi="Times New Roman"/>
          <w:sz w:val="18"/>
          <w:szCs w:val="18"/>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63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Insurers</w:t>
      </w:r>
      <w:r>
        <w:rPr>
          <w:rFonts w:ascii="Times New Roman" w:cs="Times New Roman" w:eastAsia="Times New Roman" w:hAnsi="Times New Roman"/>
          <w:sz w:val="18"/>
          <w:szCs w:val="18"/>
          <w:color w:val="auto"/>
        </w:rPr>
        <w:t>. If, at the time of the receipt by the Company of a Notice of a Claim pursuant to Section 3(b) hereof, the Company has liability insurance in effect which may potentially cover such Claim, the Company shall give prompt Notice of the commencement of such Claim to the insurers in accordance with the procedures set forth in the respective insurance policies. The Company shall keep Indemnitee reasonably informed as to the status of all relevant insurance matters.</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17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Defense; Selection of Counsel</w:t>
      </w:r>
      <w:r>
        <w:rPr>
          <w:rFonts w:ascii="Times New Roman" w:cs="Times New Roman" w:eastAsia="Times New Roman" w:hAnsi="Times New Roman"/>
          <w:sz w:val="18"/>
          <w:szCs w:val="18"/>
          <w:color w:val="auto"/>
        </w:rPr>
        <w:t>. The Company shall be entitled to participate in the defense of any Claim relating to an Indemnifiable Event at its own expense and, in the event the Company shall be obligated hereunder to pay the Expenses of any Claim, the Company shall be entitled to assume the defense of such Claim with counsel approved by Indemnitee (such approval not to be unreasonably withheld or delayed) upon the delivery to Indemnitee of Notice of the Company’s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Claim; provided that: (i) Indemnitee shall have the right to employ Indemnitee’s separate counsel in any such Claim at Indemnitee’s own expense; and (ii) if (A) the employment of separate counsel by Indemnitee has been previously authorized by the Company, (B) Indemnitee shall have reasonably concluded, with advice of counsel, that there may be a conflict of interest between the Company and Indemnitee in the conduct of any such defense, (C) after a Change in Control, the employment of separate counsel by Indemnitee has been approved by Independent Legal Counsel, or (D) the Company shall not continue to retain counsel to defend such Claim, then the fees and expenses of Indemnitee’s separate counsel shall be considered an Expense.</w:t>
      </w:r>
    </w:p>
    <w:p>
      <w:pPr>
        <w:spacing w:after="0" w:line="187" w:lineRule="exact"/>
        <w:rPr>
          <w:rFonts w:ascii="Times New Roman" w:cs="Times New Roman" w:eastAsia="Times New Roman" w:hAnsi="Times New Roman"/>
          <w:sz w:val="18"/>
          <w:szCs w:val="18"/>
          <w:color w:val="auto"/>
        </w:rPr>
      </w:pPr>
    </w:p>
    <w:p>
      <w:pPr>
        <w:ind w:left="984" w:hanging="984"/>
        <w:spacing w:after="0"/>
        <w:tabs>
          <w:tab w:leader="none" w:pos="98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Indemnification Rights; Nonexclusivity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56" w:firstLine="1304"/>
        <w:spacing w:after="0" w:line="254" w:lineRule="auto"/>
        <w:tabs>
          <w:tab w:leader="none" w:pos="16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The Company hereby agrees to indemnify the Indemnitee to the fullest extent permitted by law, notwithstanding that such indemnification is not specifically authorized by the other provisions of this Agreement, the Articles of Incorporation, the Bylaws or by statute. To the extent that a change in NRS Chapter 78, whether by statute or judicial decision, permits greater indemnification than would be afforded currently under the Articles of Incorporation, Bylaws and this Agreement, it is the intent of the parties hereto that Indemnitee shall enjoy by this Agreement the greater benefits so afforded by such change. In the event of any change in any applicable law, statute or rule which narrows the right of a Nevada corporation to indemnify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11(a) hereof.</w:t>
      </w:r>
    </w:p>
    <w:p>
      <w:pPr>
        <w:spacing w:after="0" w:line="191"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16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Bylaws require indemnification of the officers and directors of the Company. Indemnitee may also be entitled to indemnification pursuant to NRS Chapter 78. The Bylaws and NRS Chapter 78 expressly provide that the indemnification provisions set forth therein are not exclusive and thereby contemplate that contracts may be entered into between the Company and members of the Board, officers and other persons with respect to indemnification. The indemnification provided under this Agreement shall continue as to Indemnitee for any action taken or not taken while serving in an indemnified capacity even though Indemnitee may have ceased to serve in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273685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88" w:name="page89"/>
    <w:bookmarkEnd w:id="88"/>
    <w:p>
      <w:pPr>
        <w:jc w:val="both"/>
        <w:ind w:firstLine="656"/>
        <w:spacing w:after="0" w:line="255" w:lineRule="auto"/>
        <w:tabs>
          <w:tab w:leader="none" w:pos="174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court of competent jurisdiction to be unavailable to Indemnitee for any reason whatsoever other than the reasons set forth in Section 11 hereof, the Company, in lieu of indemnifying Indemnitee, shall contribute to the amount incurred by Indemnitee, whether for judgments, fines, penalties, excise taxes, amounts paid or to be paid in settlement and/or for Expenses and Other Liabilities,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(other than Indemnitee) officers, employees and agents) and Indemnitee in connection with such event(s) and/or transaction(s).</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96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The Company shall not be liable to Indemnitee under this Agreement for any amounts paid in settlement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or pending Claim related to an Indemnifiable Event effected without the Company’s prior written consent, which shall not be unreasonably withheld or delayed; provided, however, that if a Change in Control has occurred, the Company shall be liable for indemnification of the Indemnitee for amounts paid in settlement if an Independent Legal Counsel has approved the settlement. The Company shall not settle any Claim related to an Indemnifiable Event in any manner that would impose any Other Liabilities on the Indemnitee without the Indemnitee’s prior written consent.</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69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Duplication of Payments</w:t>
      </w:r>
      <w:r>
        <w:rPr>
          <w:rFonts w:ascii="Times New Roman" w:cs="Times New Roman" w:eastAsia="Times New Roman" w:hAnsi="Times New Roman"/>
          <w:sz w:val="18"/>
          <w:szCs w:val="18"/>
          <w:color w:val="auto"/>
        </w:rPr>
        <w:t>. The Company shall not be liable under this Agreement to make any payment in connection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made against Indemnitee to the extent Indemnitee has otherwise actually received payment (under any insurance policy, provision of the Articles of Incorporation, Bylaws or otherwise) of the amounts otherwise indemnifiable hereunder.</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77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or a portion of Expenses or Other Liabilities incurred in connection with any Claim, but not, however, for all of the total amount thereof, the Company shall nevertheless indemnify Indemnitee for the portion of such Expenses and Other Liabilities to which Indemnitee is entitled.</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88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Imputation</w:t>
      </w:r>
      <w:r>
        <w:rPr>
          <w:rFonts w:ascii="Times New Roman" w:cs="Times New Roman" w:eastAsia="Times New Roman" w:hAnsi="Times New Roman"/>
          <w:sz w:val="18"/>
          <w:szCs w:val="18"/>
          <w:color w:val="auto"/>
        </w:rPr>
        <w:t>. The knowledge or actions, or failure to act, of any director, officer, agent or employee of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itself shall not be imputed to Indemnitee for purposes of determining the right to indemnification under this Agreement.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69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Insurance</w:t>
      </w:r>
      <w:r>
        <w:rPr>
          <w:rFonts w:ascii="Times New Roman" w:cs="Times New Roman" w:eastAsia="Times New Roman" w:hAnsi="Times New Roman"/>
          <w:sz w:val="18"/>
          <w:szCs w:val="18"/>
          <w:color w:val="auto"/>
        </w:rPr>
        <w:t>. For the duration of Indemnitee’s service as a director or officer or other agent of the Company, and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so long as Indemnitee shall be subject to any pending or possible Claim by reason of any Indemnifiable Event, the Company shall use commercially reasonable efforts (taking into account the scope and amount of coverage available relative to the cost thereof) to cause to be maintained in effect policies of liability insurance providing coverage for directors and officers of the Company that are at least substantially comparable in scope and amount to that provided by the Company’s current policies of directors’ and officers’ liability insurance. To the extent the Company maintains liability insurance applicable to directors, officers, employees, agents or fiduciaries, Indemnitee shall be covered by such policies in such a manner as to provide Indemnitee the same rights and benefits as are provided to the most favorably insured of the Company’s directors, if Indemnitee is a director; or of the Company’s officers, if Indemnitee is not a director of the Company but is an officer; or of the Company’s key employees, agents or fiduciaries, if Indemnitee is not an officer or director but is a key employee, agent or fiduciary.</w:t>
      </w:r>
    </w:p>
    <w:p>
      <w:pPr>
        <w:spacing w:after="0" w:line="188" w:lineRule="exact"/>
        <w:rPr>
          <w:rFonts w:ascii="Times New Roman" w:cs="Times New Roman" w:eastAsia="Times New Roman" w:hAnsi="Times New Roman"/>
          <w:sz w:val="18"/>
          <w:szCs w:val="18"/>
          <w:b w:val="1"/>
          <w:bCs w:val="1"/>
          <w:color w:val="auto"/>
        </w:rPr>
      </w:pPr>
    </w:p>
    <w:p>
      <w:pPr>
        <w:ind w:left="1600" w:hanging="944"/>
        <w:spacing w:after="0"/>
        <w:tabs>
          <w:tab w:leader="none" w:pos="16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Notwithstanding any other provision of this Agreement, the Company shall not be obligated pursuant to the terms of this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23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Action or Omissions</w:t>
      </w:r>
      <w:r>
        <w:rPr>
          <w:rFonts w:ascii="Times New Roman" w:cs="Times New Roman" w:eastAsia="Times New Roman" w:hAnsi="Times New Roman"/>
          <w:sz w:val="18"/>
          <w:szCs w:val="18"/>
          <w:color w:val="auto"/>
        </w:rPr>
        <w:t>. To indemnify Indemnitee for acts, omissions or transactions if a final decision by a court having jurisdiction in the matter (after exhaustion of all appeals therefrom) shall determine that such indemnification is prohibited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jc w:val="both"/>
        <w:ind w:left="-656" w:firstLine="1304"/>
        <w:spacing w:after="0" w:line="256" w:lineRule="auto"/>
        <w:tabs>
          <w:tab w:leader="none" w:pos="158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Initiated by Indemnitee</w:t>
      </w:r>
      <w:r>
        <w:rPr>
          <w:rFonts w:ascii="Times New Roman" w:cs="Times New Roman" w:eastAsia="Times New Roman" w:hAnsi="Times New Roman"/>
          <w:sz w:val="18"/>
          <w:szCs w:val="18"/>
          <w:color w:val="auto"/>
        </w:rPr>
        <w:t>. To indemnify Expenses or Other Liabilities or advance Expenses to Indemnitee with respect to Claims initiated or brought voluntarily by Indemnitee and not by way of defense, except: (i) with respect to actions or proceedings brought to establish or enforce a right to indemnification hereunder or under the Articles of Incorporation or Bylaws (unless a court of competent jurisdiction determines that each of the material assertions made by Indemnitee in such proceeding was not made in good faith or was frivolous); (ii) in specific cases if the Board has approved the initiation or bringing of such Claim, or (iii) as otherwise required by applicable law, regardless of whether Indemnitee ultimately is determined to be entitled to such indemnification, advance Expense payment or insurance recovery, as the case may be.</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84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Under Section 16(b)</w:t>
      </w:r>
      <w:r>
        <w:rPr>
          <w:rFonts w:ascii="Times New Roman" w:cs="Times New Roman" w:eastAsia="Times New Roman" w:hAnsi="Times New Roman"/>
          <w:sz w:val="18"/>
          <w:szCs w:val="18"/>
          <w:color w:val="auto"/>
        </w:rPr>
        <w:t>. To indemnify Indemnitee for the payment of profits arising from the purchase or sale by Indemnitee of securities in violation of Section 16(b) of the Exchange Act, or any similar successor statute; provided that the Company shall advance Expenses in connection with Indemnitee’s defense of a claim under Section 16(b), which advances shall be repaid to the Company if it is ultimately determined that Indemnitee is not entitled to indemnification of such Expenses.</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5" w:lineRule="auto"/>
        <w:tabs>
          <w:tab w:leader="none" w:pos="175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To indemnify Indemnitee for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or the payment to the Company of profits arising from the purchase or sale by Indemnitee of securities in violation of Section 306 of the Sarbanes-Oxley Act, or any reimbursements or clawbacks of compensation under Section 954 of the Dodd-Frank Wall Street Reform and Consumer Protection Act or under any clawback policy adopted by the Company to comply with Rule 10D-1 under the Exchange Act and applicable stock exchange listing requirements.</w:t>
      </w:r>
    </w:p>
    <w:p>
      <w:pPr>
        <w:spacing w:after="0" w:line="184" w:lineRule="exact"/>
        <w:rPr>
          <w:rFonts w:ascii="Times New Roman" w:cs="Times New Roman" w:eastAsia="Times New Roman" w:hAnsi="Times New Roman"/>
          <w:sz w:val="18"/>
          <w:szCs w:val="18"/>
          <w:color w:val="auto"/>
        </w:rPr>
      </w:pPr>
    </w:p>
    <w:p>
      <w:pPr>
        <w:ind w:left="944" w:hanging="944"/>
        <w:spacing w:after="0"/>
        <w:tabs>
          <w:tab w:leader="none" w:pos="94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constitute an original.</w:t>
      </w:r>
    </w:p>
    <w:p>
      <w:pPr>
        <w:spacing w:after="0" w:line="225" w:lineRule="exact"/>
        <w:rPr>
          <w:rFonts w:ascii="Times New Roman" w:cs="Times New Roman" w:eastAsia="Times New Roman" w:hAnsi="Times New Roman"/>
          <w:sz w:val="18"/>
          <w:szCs w:val="18"/>
          <w:b w:val="1"/>
          <w:bCs w:val="1"/>
          <w:color w:val="auto"/>
        </w:rPr>
      </w:pPr>
    </w:p>
    <w:p>
      <w:pPr>
        <w:jc w:val="both"/>
        <w:ind w:left="-656" w:firstLine="656"/>
        <w:spacing w:after="0" w:line="255" w:lineRule="auto"/>
        <w:tabs>
          <w:tab w:leader="none" w:pos="104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Effect; Successors and Assigns</w:t>
      </w:r>
      <w:r>
        <w:rPr>
          <w:rFonts w:ascii="Times New Roman" w:cs="Times New Roman" w:eastAsia="Times New Roman" w:hAnsi="Times New Roman"/>
          <w:sz w:val="18"/>
          <w:szCs w:val="18"/>
          <w:color w:val="auto"/>
        </w:rPr>
        <w:t>. This Agreement shall be binding upon and inure to the benefit of and be enforceable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and their respective successors, assigns (including any direct or indirect successor by purchase, merger, consolidation or otherwise to all or substantially all of the business or assets of the Company), spouses, heirs and personal and legal representatives. The Company shall require and cause any successor (whether direct or indirect, and whether by purchase, merger, consolidation or otherwise) to all, substantially all, or a substantial part, of the business 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regardless of whether Indemnitee continues to serve as a director, officer, employee, agent or fiduciary (as applicable) of the Company or of any other enterprise at the Company’s request.</w:t>
      </w:r>
    </w:p>
    <w:p>
      <w:pPr>
        <w:spacing w:after="0" w:line="184" w:lineRule="exact"/>
        <w:rPr>
          <w:rFonts w:ascii="Times New Roman" w:cs="Times New Roman" w:eastAsia="Times New Roman" w:hAnsi="Times New Roman"/>
          <w:sz w:val="18"/>
          <w:szCs w:val="18"/>
          <w:b w:val="1"/>
          <w:bCs w:val="1"/>
          <w:color w:val="auto"/>
        </w:rPr>
      </w:pPr>
    </w:p>
    <w:p>
      <w:pPr>
        <w:jc w:val="both"/>
        <w:ind w:left="-656" w:firstLine="656"/>
        <w:spacing w:after="0" w:line="255" w:lineRule="auto"/>
        <w:tabs>
          <w:tab w:leader="none" w:pos="116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Attorneys’ Fees</w:t>
      </w:r>
      <w:r>
        <w:rPr>
          <w:rFonts w:ascii="Times New Roman" w:cs="Times New Roman" w:eastAsia="Times New Roman" w:hAnsi="Times New Roman"/>
          <w:sz w:val="18"/>
          <w:szCs w:val="18"/>
          <w:color w:val="auto"/>
        </w:rPr>
        <w:t>. In the event that any action is instituted by Indemnitee under this Agreement or under any liability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maintained by the Company to enforce or interpret any of the terms hereof or thereof, Indemnitee shall be entitled to be paid all Expenses incurred by Indemnitee with respect to such action, regardless of whether Indemnitee is ultimately successful in such action, and shall be entitled to the advancement of Expenses with respect to such action, unless as a part of such action a court of competent jurisdiction over such action finally determines that each of the material assertions made by Indemnitee as a basis for such action was not made in good faith. In the event of an action instituted by or in the name of the Company under this Agreement to enforce or interpret any of the terms of this Agreement, Indemnitee shall be entitled to be paid all Expenses incurred by Indemnitee in defense of such action (including costs and Expenses incurred with respect to Indemnitee’s counterclaims and cross-claims made in such action), and shall be entitled to the advancement of all Expenses with respect to such action.</w:t>
      </w:r>
    </w:p>
    <w:p>
      <w:pPr>
        <w:spacing w:after="0" w:line="184" w:lineRule="exact"/>
        <w:rPr>
          <w:rFonts w:ascii="Times New Roman" w:cs="Times New Roman" w:eastAsia="Times New Roman" w:hAnsi="Times New Roman"/>
          <w:sz w:val="18"/>
          <w:szCs w:val="18"/>
          <w:b w:val="1"/>
          <w:bCs w:val="1"/>
          <w:color w:val="auto"/>
        </w:rPr>
      </w:pPr>
    </w:p>
    <w:p>
      <w:pPr>
        <w:jc w:val="both"/>
        <w:ind w:left="-656" w:firstLine="656"/>
        <w:spacing w:after="0" w:line="259" w:lineRule="auto"/>
        <w:tabs>
          <w:tab w:leader="none" w:pos="104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All notices, requests, demands and other communications under this Agreement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shall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duly given, if delivered, mailed or sent, as applicable, to the applicable address set forth below: (i) if delivered by hand and signed for by the party addressed, on the date of such delivery; (ii) if mailed by domestic certified or registered mail with postage prepaid, on the third business day after the date postmarked; or (iii) if sent by a reputable nationwide overnight courier service that guarantees next business day delivery, on the next business day after being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273685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90" w:name="page91"/>
    <w:bookmarkEnd w:id="90"/>
    <w:p>
      <w:pPr>
        <w:ind w:firstLine="1304"/>
        <w:spacing w:after="0" w:line="282" w:lineRule="auto"/>
        <w:tabs>
          <w:tab w:leader="none" w:pos="22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to the address indicated on the signature page of this Agreement, or such other address as Indemnitee shall provide to the Company in accordance with this Section 15; and</w:t>
      </w:r>
    </w:p>
    <w:p>
      <w:pPr>
        <w:spacing w:after="0" w:line="161"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Expion360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2025 SW Deerhound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Redmond, OR 97756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or such other address as the Company shall provide to Indemnitee in accordance with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56"/>
        <w:spacing w:after="0" w:line="262" w:lineRule="auto"/>
        <w:tabs>
          <w:tab w:leader="none" w:pos="162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 to Jurisdiction</w:t>
      </w:r>
      <w:r>
        <w:rPr>
          <w:rFonts w:ascii="Times New Roman" w:cs="Times New Roman" w:eastAsia="Times New Roman" w:hAnsi="Times New Roman"/>
          <w:sz w:val="18"/>
          <w:szCs w:val="18"/>
          <w:color w:val="auto"/>
        </w:rPr>
        <w:t>. The Company and Indemnitee each hereby irrevocably consent to the jurisdiction of the courts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Nevada for all purposes in connection with any action or proceeding which arises out of or relates to this Agreement and agree that any action instituted under this Agreement shall be commenced, prosecuted and continued only in the district court of the State of Nevada in and for Clark County, which shall be the exclusive and only proper forum for adjudicating such a claim.</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83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provisions of this Agreement shall be severable in the event that any of the provisions hereof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limitations,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67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its provisions construed and enforced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Nevada as applied to contracts between Nevada residents entered into and to be performed entirely within the State of Nevada.</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593"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recovery of Indemnitee, who shall execute all documents required and shall do all acts that may be necessary to secure such rights and to enable the Company effectively to bring suit to enforce such rights.</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65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 and Waiver</w:t>
      </w:r>
      <w:r>
        <w:rPr>
          <w:rFonts w:ascii="Times New Roman" w:cs="Times New Roman" w:eastAsia="Times New Roman" w:hAnsi="Times New Roman"/>
          <w:sz w:val="18"/>
          <w:szCs w:val="18"/>
          <w:color w:val="auto"/>
        </w:rPr>
        <w:t>. Due to the uncertain application of any statutes of limitations that may govern any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of indefinite duration. No amendment, modification, termination or cancellation of this Agreement shall be effective unless it is in writing signed by both the parties hereto. No waiver of any of the provisions of this Agreement shall be deemed to be or shall constitute a waiver of any other provisions hereof (whether or not similar), nor shall such waiver constitute a continuing waiver.</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69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Integration and Entire Agreement</w:t>
      </w:r>
      <w:r>
        <w:rPr>
          <w:rFonts w:ascii="Times New Roman" w:cs="Times New Roman" w:eastAsia="Times New Roman" w:hAnsi="Times New Roman"/>
          <w:sz w:val="18"/>
          <w:szCs w:val="18"/>
          <w:color w:val="auto"/>
        </w:rPr>
        <w:t>. This Agreement sets forth the entire understanding between the parties hereto and supersedes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merges all previous written and oral negotiations, commitments, understandings and agreements relating to the subject matter hereof between the parties hereto. If the Company and Indemnitee have previously entered into an indemnification agreement providing for indemnification of Indemnitee by the Company, the parties’ entry into this Indemnification Agreement shall be deemed to amend and restate such Indemnification Agreement to read in its entirety as, and to be superseded by, this Indemnification Agreement.</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72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Construction as Employment Agreement</w:t>
      </w:r>
      <w:r>
        <w:rPr>
          <w:rFonts w:ascii="Times New Roman" w:cs="Times New Roman" w:eastAsia="Times New Roman" w:hAnsi="Times New Roman"/>
          <w:sz w:val="18"/>
          <w:szCs w:val="18"/>
          <w:color w:val="auto"/>
        </w:rPr>
        <w:t>. Nothing contained in this Agreement shall be construed as giving Indemnitee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be retained in the employ of the Company or any of its subsidiaries or affiliated entities.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Indemnification Agreement as of the date first above written.</w:t>
      </w:r>
    </w:p>
    <w:p>
      <w:pPr>
        <w:sectPr>
          <w:pgSz w:w="11900" w:h="16838" w:orient="portrait"/>
          <w:cols w:equalWidth="0" w:num="1">
            <w:col w:w="9479"/>
          </w:cols>
          <w:pgMar w:left="980" w:top="553"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 ___________________</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_________________</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 _________________</w:t>
      </w:r>
    </w:p>
    <w:p>
      <w:pPr>
        <w:spacing w:after="0" w:line="200" w:lineRule="exact"/>
        <w:rPr>
          <w:sz w:val="20"/>
          <w:szCs w:val="20"/>
          <w:color w:val="auto"/>
        </w:rPr>
      </w:pP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u w:val="single" w:color="auto"/>
          <w:color w:val="auto"/>
        </w:rPr>
        <w:t>AGREED TO AND ACCEPTED</w:t>
      </w:r>
      <w:r>
        <w:rPr>
          <w:rFonts w:ascii="Times New Roman" w:cs="Times New Roman" w:eastAsia="Times New Roman" w:hAnsi="Times New Roman"/>
          <w:sz w:val="17"/>
          <w:szCs w:val="17"/>
          <w:b w:val="1"/>
          <w:bCs w:val="1"/>
          <w:color w:val="auto"/>
        </w:rPr>
        <w:t>:</w:t>
      </w: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 ___________________</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_________________</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Address: ________________</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506095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53" w:right="1440" w:bottom="1440" w:gutter="0" w:footer="0" w:header="0"/>
          <w:type w:val="continuous"/>
        </w:sectPr>
      </w:pPr>
    </w:p>
    <w:bookmarkStart w:id="92" w:name="page93"/>
    <w:bookmarkEnd w:id="92"/>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3"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or sale of securities while possessing material nonpublic (“</w:t>
      </w:r>
      <w:r>
        <w:rPr>
          <w:rFonts w:ascii="Times New Roman" w:cs="Times New Roman" w:eastAsia="Times New Roman" w:hAnsi="Times New Roman"/>
          <w:sz w:val="18"/>
          <w:szCs w:val="18"/>
          <w:i w:val="1"/>
          <w:iCs w:val="1"/>
          <w:color w:val="auto"/>
        </w:rPr>
        <w:t>inside</w:t>
      </w:r>
      <w:r>
        <w:rPr>
          <w:rFonts w:ascii="Times New Roman" w:cs="Times New Roman" w:eastAsia="Times New Roman" w:hAnsi="Times New Roman"/>
          <w:sz w:val="18"/>
          <w:szCs w:val="18"/>
          <w:color w:val="auto"/>
        </w:rPr>
        <w:t>”) information or the disclosure of inside information (“</w:t>
      </w:r>
      <w:r>
        <w:rPr>
          <w:rFonts w:ascii="Times New Roman" w:cs="Times New Roman" w:eastAsia="Times New Roman" w:hAnsi="Times New Roman"/>
          <w:sz w:val="18"/>
          <w:szCs w:val="18"/>
          <w:i w:val="1"/>
          <w:iCs w:val="1"/>
          <w:color w:val="auto"/>
        </w:rPr>
        <w:t>tipping</w:t>
      </w:r>
      <w:r>
        <w:rPr>
          <w:rFonts w:ascii="Times New Roman" w:cs="Times New Roman" w:eastAsia="Times New Roman" w:hAnsi="Times New Roman"/>
          <w:sz w:val="18"/>
          <w:szCs w:val="18"/>
          <w:color w:val="auto"/>
        </w:rPr>
        <w:t>”) to others who may trade in such securities is sometimes referred to as “insider trading” and is prohibited by federal and state securities laws. Insider trading occurs when a person buys or sells a security when in possession of inside information in violation of a duty of trust or confidence. As an essential part of your work, you may have or obtain access to inside information about Expion360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including information about other companies with which the Company does, or may do, business.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this Insider Trading Policy (this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to assist the Company in preventing insider trading and to avoid even the appearance of improper conduct on the part of any director, officer, employee or contractor of the Company. This Policy is designed to protect and further the Company’s reputation for integrity and ethical conduct. However, the ultimate responsibility for complying with securities laws, adhering to this Policy, and avoiding improper transactions rests with you. It is imperative you use your best judgment and ask questions when you are uncertain how to handle a particular situation.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prohibition against insider trading is absolute. It applies even if the decision to trade is not based on such inside information. It also applies to transactions that may be necessary or justifiable for independent reasons (such as the need to raise money for an emergency expenditure) and to very small transactions. All that matters is whether you are aware of any inside information relating to the Company at the time of the transaction.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has delegated to its Nominating and Corporate Governance Committee (the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the responsibility of administering this Policy. The Committee may from time to time recommend to the Board changes to this Policy. All changes to this Policy must be approved by the Board. This Policy was adopted by the Board on October 16, 2025.</w:t>
      </w:r>
    </w:p>
    <w:p>
      <w:pPr>
        <w:spacing w:after="0" w:line="171"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PENALTIES FOR INSIDER TRADING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penalties for violating the insider trading laws include imprisonment, disgorgement of profits gained or losses avoided, and substantial civil and criminal fines. As of the effective date of this Policy, an insider trading violation carries a maximum prison sentence of 20 years. Criminal fines can reach up to $5.0 million for individuals and $25.0 million for entities, and civil sanctions may include an injunction, industry bar, disgorgement and penalties of up to the greater of approximately $2.6 million or three times the profit gained or loss avoided. Individuals and entities considered to be “control persons” who knew or recklessly disregarded the fact that a “controlled person” was likely to engage in insider trading also may be civilly liable. For this purpose, a “</w:t>
      </w:r>
      <w:r>
        <w:rPr>
          <w:rFonts w:ascii="Times New Roman" w:cs="Times New Roman" w:eastAsia="Times New Roman" w:hAnsi="Times New Roman"/>
          <w:sz w:val="18"/>
          <w:szCs w:val="18"/>
          <w:i w:val="1"/>
          <w:iCs w:val="1"/>
          <w:color w:val="auto"/>
        </w:rPr>
        <w:t>control person</w:t>
      </w:r>
      <w:r>
        <w:rPr>
          <w:rFonts w:ascii="Times New Roman" w:cs="Times New Roman" w:eastAsia="Times New Roman" w:hAnsi="Times New Roman"/>
          <w:sz w:val="18"/>
          <w:szCs w:val="18"/>
          <w:color w:val="auto"/>
        </w:rPr>
        <w:t>” is an entity or person who directly or indirectly controls another person, and could include the Company, its directors, and officers. Under some circumstances, individuals who trade on inside information may also be subjected to private civil lawsuits. Moreover, inside information is the property of the Company, and trading on or tipping such information could result in serious employment sanctions, including termination of employment.</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Financial Industry Regulatory Authority (“</w:t>
      </w:r>
      <w:r>
        <w:rPr>
          <w:rFonts w:ascii="Times New Roman" w:cs="Times New Roman" w:eastAsia="Times New Roman" w:hAnsi="Times New Roman"/>
          <w:sz w:val="18"/>
          <w:szCs w:val="18"/>
          <w:i w:val="1"/>
          <w:iCs w:val="1"/>
          <w:color w:val="auto"/>
        </w:rPr>
        <w:t>FINRA</w:t>
      </w:r>
      <w:r>
        <w:rPr>
          <w:rFonts w:ascii="Times New Roman" w:cs="Times New Roman" w:eastAsia="Times New Roman" w:hAnsi="Times New Roman"/>
          <w:sz w:val="18"/>
          <w:szCs w:val="18"/>
          <w:color w:val="auto"/>
        </w:rPr>
        <w:t>”), and Nasdaq Stock Market use sophisticated electronic surveillance techniques to investigate and detect insider trading, and the SEC and U.S. Department of Justice pursue insider trading violations vigorously. Cases involving trading through foreign accounts, trading by family members and friends, and trading involving only a small number of shares have been successfully prosecuted.</w:t>
      </w:r>
    </w:p>
    <w:p>
      <w:pPr>
        <w:spacing w:after="0" w:line="178"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AND APPLICABILITY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Covered Persons. </w:t>
      </w:r>
      <w:r>
        <w:rPr>
          <w:rFonts w:ascii="Times New Roman" w:cs="Times New Roman" w:eastAsia="Times New Roman" w:hAnsi="Times New Roman"/>
          <w:sz w:val="18"/>
          <w:szCs w:val="18"/>
          <w:color w:val="auto"/>
        </w:rPr>
        <w:t>This Policy applies to all directors, officers, employees and, where appropriate in the Company’s determination, contractors,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Company’s operations (each,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This Policy also applies to family members and domestic partners who share a household with a Covered Person.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person designated as a Covered Person (i) must comply with this Policy until notified otherwise in writing by the Compliance Officer, and (ii) in the event of termination or separation from the Company, shall continue to be designated by the Company as a Covered Person until such time as such person is no longer in possession of inside information.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3.2. Covered Securities and Transactions</w:t>
      </w:r>
      <w:r>
        <w:rPr>
          <w:rFonts w:ascii="Times New Roman" w:cs="Times New Roman" w:eastAsia="Times New Roman" w:hAnsi="Times New Roman"/>
          <w:sz w:val="18"/>
          <w:szCs w:val="18"/>
          <w:color w:val="auto"/>
        </w:rPr>
        <w:t>. Subject to the specific exceptions set forth in Section 5.2, this Policy applies to all transactions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securities, including common stock and any other type of securities that are convertible into, exchangeable or exercisable for common stock, such as preferred stock, convertible debt securities, warrants, and other derivative securities. This Policy applies to sales, purchases, gifts, exchanges, pledges, options, hedges, puts, calls and short sales, and any other transaction that purports to transfer the economic consequences of ownership.</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applies to all investment decisions you influence or make regarding transactions in Company securities. For example, if you influence or have the power to direct the purchase or sale of Company securities by virtue of your position as a director or officer of a corporation or non-profit organization, as a general partner of a partnership, as a managing member of a limited liability company (“</w:t>
      </w:r>
      <w:r>
        <w:rPr>
          <w:rFonts w:ascii="Times New Roman" w:cs="Times New Roman" w:eastAsia="Times New Roman" w:hAnsi="Times New Roman"/>
          <w:sz w:val="18"/>
          <w:szCs w:val="18"/>
          <w:b w:val="1"/>
          <w:bCs w:val="1"/>
          <w:i w:val="1"/>
          <w:iCs w:val="1"/>
          <w:color w:val="auto"/>
        </w:rPr>
        <w:t>LLC</w:t>
      </w:r>
      <w:r>
        <w:rPr>
          <w:rFonts w:ascii="Times New Roman" w:cs="Times New Roman" w:eastAsia="Times New Roman" w:hAnsi="Times New Roman"/>
          <w:sz w:val="18"/>
          <w:szCs w:val="18"/>
          <w:color w:val="auto"/>
        </w:rPr>
        <w:t>”), as a trustee of a trust, as an executor of an estate, or as a result of any other relationship with any of the foregoing that results in your influence or control of investment decisions, then all transactions in Company securities made on behalf of any such corporation, organization, partnership, LLC, trust or estate are covered by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also applies to trading in securities of another company if you learn inside information in the course of, or as a result of, your employment or association with the Company that is material to another company, including but not limited to a customer, supplier, partner, or collaborator of the Company, or an economically linked company such as a competitor of the Company. In such case, you may not trade in that other company’s securities until the information becomes public or is no longer material to that other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expected to comply with this Policy until such time as you no longer provide service to the Company and you no longer possess any inside information subject to this Policy. In addition, if you are subject to a trading blackout under this Policy at the time you cease to provide service to the Company, you are expected to abide by the applicable trading restrictions until at least the end of the relevant blackout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federal securities laws do not recognize any mitigating circumstances to insider trading. There may be instances where you need to forgo a planned transaction even if you planned it before becoming aware of the inside information. Even if you believe you may suffer an economic loss or sacrifice an anticipated profit by waiting to trade, you must wait. Personal financial emergency or other personal circumstances are not mitigating factors under securities laws and will not excuse a failure to comply with this Policy. See Section 9.3 for additional information about selling Company securities in connection with a financial hardship.</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Delivery of the Policy. </w:t>
      </w:r>
      <w:r>
        <w:rPr>
          <w:rFonts w:ascii="Times New Roman" w:cs="Times New Roman" w:eastAsia="Times New Roman" w:hAnsi="Times New Roman"/>
          <w:sz w:val="18"/>
          <w:szCs w:val="18"/>
          <w:color w:val="auto"/>
        </w:rPr>
        <w:t>This Policy will be delivered to all Covered Persons upon its initial adoption by the Board. Thereafter, it will be delivered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upon commencement of their employment or association with the Company.</w:t>
      </w:r>
    </w:p>
    <w:p>
      <w:pPr>
        <w:spacing w:after="0" w:line="155"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Insider Trading. </w:t>
      </w:r>
      <w:r>
        <w:rPr>
          <w:rFonts w:ascii="Times New Roman" w:cs="Times New Roman" w:eastAsia="Times New Roman" w:hAnsi="Times New Roman"/>
          <w:sz w:val="18"/>
          <w:szCs w:val="18"/>
          <w:color w:val="auto"/>
        </w:rPr>
        <w:t>In general, “insider trading” occurs when a person purchases or sells a security while in possession of inside information in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duty of trust or confidence owed directly or indirectly to the issuer of the security, the issuer’s stockholders or the source of the information. “Inside information” is information which is considered both “material” and “nonpublic.” Insider trading is a crime and may subject you to serious financial penalties and termination of employment. Please refer to Section 2 of this Policy for additional information.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4.2. Materiality. </w:t>
      </w:r>
      <w:r>
        <w:rPr>
          <w:rFonts w:ascii="Times New Roman" w:cs="Times New Roman" w:eastAsia="Times New Roman" w:hAnsi="Times New Roman"/>
          <w:sz w:val="18"/>
          <w:szCs w:val="18"/>
          <w:color w:val="auto"/>
        </w:rPr>
        <w:t>A fact is considered “material” if (i) there is a substantial likelihood that a reasonable investor would consider it important in making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 to buy, hold, or sell securities, or (ii) disclosure of the information would be expected to significantly alter the total mix of the information in the marketplace about the issuer of the security. Material information can reflect either good or bad news and is not limited to financial information. While it is impossible to list all types of information that might be deemed “material” under particular circumstances, information dealing with the following subjects affecting the Company would generally be considered material:</w:t>
      </w:r>
    </w:p>
    <w:p>
      <w:pPr>
        <w:spacing w:after="0" w:line="3"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revenues, expenses, margins, earnings, losses or liquidity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actual Company financial results for a quarter and/or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restatements of financial results, or material impairments, write-offs or restructurings;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new products by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or discount policies;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joint venture, merger or acquisition;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significant sale, disposition or write-downs of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Company operations or breach or unauthorized access of its property or assets, including its facilities and information technology infrastructure;</w:t>
      </w:r>
    </w:p>
    <w:p>
      <w:pPr>
        <w:ind w:left="660" w:right="2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the execution or termination of significant contracts or other commercial arrangements with customers, distributors, suppliers, strategic partners, or other third parties;</w:t>
      </w: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or amounts, recapitalizations or stock splits;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securities or other financing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conversion or incurrence of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senior management or other major personnel changes, and labor disputes or negotiations;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research and development or intellectual property;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litigation or government investigations, including any change in status thereof.</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4.3. Nonpublic Information. </w:t>
      </w:r>
      <w:r>
        <w:rPr>
          <w:rFonts w:ascii="Times New Roman" w:cs="Times New Roman" w:eastAsia="Times New Roman" w:hAnsi="Times New Roman"/>
          <w:sz w:val="18"/>
          <w:szCs w:val="18"/>
          <w:color w:val="auto"/>
        </w:rPr>
        <w:t>Information is “nonpublic” if it has not been widely disclosed to the general public through major newswire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national news services, financial news services, filings with the SEC, or other method that has been determined by the SEC to be compliant with Regulation FD. For purposes of this Policy, information will be considered public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longer “nonpublic”) after the close of trading on the second full trading day following the Company’s public release of the information.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Tipping. </w:t>
      </w:r>
      <w:r>
        <w:rPr>
          <w:rFonts w:ascii="Times New Roman" w:cs="Times New Roman" w:eastAsia="Times New Roman" w:hAnsi="Times New Roman"/>
          <w:sz w:val="18"/>
          <w:szCs w:val="18"/>
          <w:color w:val="auto"/>
        </w:rPr>
        <w:t>“Tipping” is the disclosure of material nonpublic information concerning the Company or its securities to an outside person.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information to anyone who thereafter trades on the basis of that information may subject both you, the tipper, and the other person, the tippee, to insider trading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5. PROHIBITED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5.1. Prohibitions. </w:t>
      </w:r>
      <w:r>
        <w:rPr>
          <w:rFonts w:ascii="Times New Roman" w:cs="Times New Roman" w:eastAsia="Times New Roman" w:hAnsi="Times New Roman"/>
          <w:sz w:val="18"/>
          <w:szCs w:val="18"/>
          <w:color w:val="auto"/>
        </w:rPr>
        <w:t>Except for the limited exceptions described below, the following shall apply to all transactions in Company securities: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color w:val="auto"/>
        </w:rPr>
        <w:t>No Covered Person may purchase, sell, transfer, or effectuate any other transaction in Company securities while in possession of inside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This prohibition includes sales of shares received upon exercise of stock options, upon vesting of restricted stock, or upon settlement of restricted stock units.</w:t>
      </w:r>
    </w:p>
    <w:p>
      <w:pPr>
        <w:spacing w:after="0" w:line="171"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color w:val="auto"/>
        </w:rPr>
        <w:t>No Covered Person may “tip” or disclose inside information concerning the Company or its securities to any outside person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family members, affiliates, analysts, investors, and news media). Should a Covered Person inadvertently disclose such information to an outside person, the Covered Person must promptly inform the Compliance Officer (or, in the absence of the Compliance Officer, the Chief Financial Officer) regarding this disclosure. In that event, the Company will either take steps necessary to (i) preserve the confidentiality of the information, including requiring the outside person to agree in writing to comply with the terms of this Policy and/or sign a confidentiality agreement, or (ii) disclose the information publicly in accordance with the requirements of Regulation FD.</w:t>
      </w:r>
    </w:p>
    <w:p>
      <w:pPr>
        <w:spacing w:after="0" w:line="182"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color w:val="auto"/>
        </w:rPr>
        <w:t>No Covered Person may purchase Company securities on margin, hold Company securities in a margin account, or otherwise pledge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securities as collateral for a loan because, in the event of a margin call or default on the loan, the broker or lender could sell the shares at a time when the Covered Person is in possession of inside information, resulting in liability for insider trading. The Committee may make exceptions to this prohibition on a case-by-case basis.</w:t>
      </w:r>
    </w:p>
    <w:p>
      <w:pPr>
        <w:spacing w:after="0" w:line="176"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color w:val="auto"/>
        </w:rPr>
        <w:t>Short-term and speculative trading in Company securities, as well as hedging and other derivative transactions involving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can create the appearance of impropriety and may become the subject of an SEC or FINRA investigation. These types of transactions can also result in inadvertent violations of insider trading laws and/or liability for “short-swing” profits under Section 16(b) of the Securities Exchange Act of 1934, as amended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Therefore, it is the Company’s policy to prohibit the following activities, even if you are not in possession of inside information:</w:t>
      </w:r>
    </w:p>
    <w:p>
      <w:pPr>
        <w:spacing w:after="0" w:line="179" w:lineRule="exact"/>
        <w:rPr>
          <w:sz w:val="20"/>
          <w:szCs w:val="20"/>
          <w:color w:val="auto"/>
        </w:rPr>
      </w:pPr>
    </w:p>
    <w:p>
      <w:pPr>
        <w:jc w:val="both"/>
        <w:ind w:left="13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5.1.4.1. </w:t>
      </w:r>
      <w:r>
        <w:rPr>
          <w:rFonts w:ascii="Times New Roman" w:cs="Times New Roman" w:eastAsia="Times New Roman" w:hAnsi="Times New Roman"/>
          <w:sz w:val="18"/>
          <w:szCs w:val="18"/>
          <w:color w:val="auto"/>
        </w:rPr>
        <w:t>No Covered Person may trade in any interest or position relating to the future price of Company securities, such as put or call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or other derivative securities, or enter into any short sale of Company securities.</w:t>
      </w:r>
    </w:p>
    <w:p>
      <w:pPr>
        <w:spacing w:after="0" w:line="155"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5.1.4.2. </w:t>
      </w:r>
      <w:r>
        <w:rPr>
          <w:rFonts w:ascii="Times New Roman" w:cs="Times New Roman" w:eastAsia="Times New Roman" w:hAnsi="Times New Roman"/>
          <w:sz w:val="18"/>
          <w:szCs w:val="18"/>
          <w:color w:val="auto"/>
        </w:rPr>
        <w:t>No Covered Person may hedge the value of Company securities. A “hedge” is a transaction designed to offset or reduce the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decline in the market value of an equity security, and can include, but is not limited to, prepaid variable forward contracts, equity swaps, collars and exchange funds.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5.1.4.3. </w:t>
      </w:r>
      <w:r>
        <w:rPr>
          <w:rFonts w:ascii="Times New Roman" w:cs="Times New Roman" w:eastAsia="Times New Roman" w:hAnsi="Times New Roman"/>
          <w:sz w:val="18"/>
          <w:szCs w:val="18"/>
          <w:color w:val="auto"/>
        </w:rPr>
        <w:t>No Covered Person may trade in securities of the Company on an active basis, including short-term speculation.</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5.1.5. </w:t>
      </w:r>
      <w:r>
        <w:rPr>
          <w:rFonts w:ascii="Times New Roman" w:cs="Times New Roman" w:eastAsia="Times New Roman" w:hAnsi="Times New Roman"/>
          <w:sz w:val="18"/>
          <w:szCs w:val="18"/>
          <w:color w:val="auto"/>
        </w:rPr>
        <w:t>No Covered Person may trade in securities of another company if the Covered Person is in possession of inside information about that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that would be material to an investment decision in that other company’s securities, which the Covered Person learned in the course of, or as a result of, his or her employment or association with the Company.</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5.1.6. </w:t>
      </w:r>
      <w:r>
        <w:rPr>
          <w:rFonts w:ascii="Times New Roman" w:cs="Times New Roman" w:eastAsia="Times New Roman" w:hAnsi="Times New Roman"/>
          <w:sz w:val="18"/>
          <w:szCs w:val="18"/>
          <w:color w:val="auto"/>
        </w:rPr>
        <w:t>No Covered Person shall make any information about the Company publicly available, including by posting information about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any Internet message board or social media site, except to the extent specifically authorized to do so.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Exceptions to Prohibited Activities</w:t>
      </w:r>
      <w:r>
        <w:rPr>
          <w:rFonts w:ascii="Times New Roman" w:cs="Times New Roman" w:eastAsia="Times New Roman" w:hAnsi="Times New Roman"/>
          <w:sz w:val="18"/>
          <w:szCs w:val="18"/>
          <w:color w:val="auto"/>
        </w:rPr>
        <w:t>. Prohibitions in trading securities under this Policy do not include:</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5.2.1. </w:t>
      </w:r>
      <w:r>
        <w:rPr>
          <w:rFonts w:ascii="Times New Roman" w:cs="Times New Roman" w:eastAsia="Times New Roman" w:hAnsi="Times New Roman"/>
          <w:sz w:val="18"/>
          <w:szCs w:val="18"/>
          <w:color w:val="auto"/>
        </w:rPr>
        <w:t>the acceptance of stock options, restricted stock, restricted stock units, or other equity awards issued or offered by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cancellation, or forfeiture of stock options, restricted stock, restricted stock units, or other equity awards in accordance with applicable plans and agreements;</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5.2.2. </w:t>
      </w:r>
      <w:r>
        <w:rPr>
          <w:rFonts w:ascii="Times New Roman" w:cs="Times New Roman" w:eastAsia="Times New Roman" w:hAnsi="Times New Roman"/>
          <w:sz w:val="18"/>
          <w:szCs w:val="18"/>
          <w:color w:val="auto"/>
        </w:rPr>
        <w:t>the exercise of vested stock options or warrants, either on a “cash for stock” or “stock for stock” basis, where no Company stock is sold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Covered Person, the Company, or otherwise) to fund the option or warrant exercise. However, while vested stock options and warrants may be exercised at any time under this Policy, the sale of any stock acquired upon such exercise is subject to this Policy;</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5.2.3. </w:t>
      </w:r>
      <w:r>
        <w:rPr>
          <w:rFonts w:ascii="Times New Roman" w:cs="Times New Roman" w:eastAsia="Times New Roman" w:hAnsi="Times New Roman"/>
          <w:sz w:val="18"/>
          <w:szCs w:val="18"/>
          <w:color w:val="auto"/>
        </w:rPr>
        <w:t>the receipt of Company stock upon vesting of restricted stock or settlement of restricted stock units, as well as the withholding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by the Company in payment of tax obligations, provided that no Company stock is sold (by the Covered Person, the Company, or otherwise) in connection with the payment of tax obligations;</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5.2.4. </w:t>
      </w:r>
      <w:r>
        <w:rPr>
          <w:rFonts w:ascii="Times New Roman" w:cs="Times New Roman" w:eastAsia="Times New Roman" w:hAnsi="Times New Roman"/>
          <w:sz w:val="18"/>
          <w:szCs w:val="18"/>
          <w:color w:val="auto"/>
        </w:rPr>
        <w:t>elections with respect to participation in the Company’s employee stock purchase plan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or to purchases of Company stock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ESPP, provided that the sale of any stock acquired through the ESPP is subject to this Policy;</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5.2.5. </w:t>
      </w:r>
      <w:r>
        <w:rPr>
          <w:rFonts w:ascii="Times New Roman" w:cs="Times New Roman" w:eastAsia="Times New Roman" w:hAnsi="Times New Roman"/>
          <w:sz w:val="18"/>
          <w:szCs w:val="18"/>
          <w:color w:val="auto"/>
        </w:rPr>
        <w:t>Company securities purchased or sold under a Trading Plan that has been approved in advance by the Compliance Officer (see Sections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10 below);</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5.2.6. </w:t>
      </w:r>
      <w:r>
        <w:rPr>
          <w:rFonts w:ascii="Times New Roman" w:cs="Times New Roman" w:eastAsia="Times New Roman" w:hAnsi="Times New Roman"/>
          <w:sz w:val="18"/>
          <w:szCs w:val="18"/>
          <w:color w:val="auto"/>
        </w:rPr>
        <w:t>transfers of Company securities by a Covered Person into a trust for which the Covered Person is a trustee, or from the trust back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Covered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5.2.7. </w:t>
      </w:r>
      <w:r>
        <w:rPr>
          <w:rFonts w:ascii="Times New Roman" w:cs="Times New Roman" w:eastAsia="Times New Roman" w:hAnsi="Times New Roman"/>
          <w:sz w:val="18"/>
          <w:szCs w:val="18"/>
          <w:color w:val="auto"/>
        </w:rPr>
        <w:t>transfers of Company securities by will or pursuant to the laws of descent and distribution;</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5.2.8.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gifts of Company securities following receipt of written approval by the Compliance Officer, unless the donor of the gift knows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have known that that the recipient of the gift will sell the Company securities soon after receiving them (and provided that the Compliance Officer shall retain the discretion to require the recipient to certify that it will comply with the terms of this Policy as a Covered Person and to retain the Company securities for a specified period of time);</w:t>
      </w:r>
    </w:p>
    <w:p>
      <w:pPr>
        <w:spacing w:after="0" w:line="176"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5.2.9.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charitable donations to an organization that has obtained 501(c)(3) tax exempt status under the Internal Revenue Code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written approval by the Compliance Officer, unless the donor of the charitable donation knows or should have known that that the</w:t>
      </w:r>
    </w:p>
    <w:p>
      <w:pPr>
        <w:sectPr>
          <w:pgSz w:w="11900" w:h="16838" w:orient="portrait"/>
          <w:cols w:equalWidth="0" w:num="1">
            <w:col w:w="11240"/>
          </w:cols>
          <w:pgMar w:left="320" w:top="549" w:right="339" w:bottom="0" w:gutter="0" w:footer="0" w:header="0"/>
        </w:sectPr>
      </w:pPr>
    </w:p>
    <w:bookmarkStart w:id="95" w:name="page96"/>
    <w:bookmarkEnd w:id="95"/>
    <w:p>
      <w:pPr>
        <w:jc w:val="both"/>
        <w:spacing w:after="0" w:line="282" w:lineRule="auto"/>
        <w:rPr>
          <w:sz w:val="20"/>
          <w:szCs w:val="20"/>
          <w:color w:val="auto"/>
        </w:rPr>
      </w:pPr>
      <w:r>
        <w:rPr>
          <w:rFonts w:ascii="Times New Roman" w:cs="Times New Roman" w:eastAsia="Times New Roman" w:hAnsi="Times New Roman"/>
          <w:sz w:val="18"/>
          <w:szCs w:val="18"/>
          <w:color w:val="auto"/>
        </w:rPr>
        <w:t>recipient of the donation will sell the Company securities soon after receiving them (and provided that the Compliance Officer shall retain the discretion to require the organization to certify that it will comply with the terms of this Policy as a Covered Person).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5.2.10. </w:t>
      </w:r>
      <w:r>
        <w:rPr>
          <w:rFonts w:ascii="Times New Roman" w:cs="Times New Roman" w:eastAsia="Times New Roman" w:hAnsi="Times New Roman"/>
          <w:sz w:val="18"/>
          <w:szCs w:val="18"/>
          <w:color w:val="auto"/>
        </w:rPr>
        <w:t>private securities transactions not expressly prohibited under Section 5.1 above between a Covered Person and a sophisticated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(i) if it is proposed by the Covered Person that inside information is to be provided to the sophisticated party, any such information shall only be provided by the Company in the Company’s sole discretion, and then, if so disclosed, only after the party has entered into a non-disclosure agreement with the Company in form and substance satisfactory to the Company and (ii) the party agrees to any restrictions under federal securities laws that the Company may impose on the party’s ability to effect transactions in any Company securities purchased by the party; and</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5.2.11. </w:t>
      </w:r>
      <w:r>
        <w:rPr>
          <w:rFonts w:ascii="Times New Roman" w:cs="Times New Roman" w:eastAsia="Times New Roman" w:hAnsi="Times New Roman"/>
          <w:sz w:val="18"/>
          <w:szCs w:val="18"/>
          <w:color w:val="auto"/>
        </w:rPr>
        <w:t>purchases and sales of mutual funds, exchange-traded funds, or other similar funds or investment vehicles that invest in securities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with respect to which the Covered Person is a passive investor and has no rights with respect to the voting or disposition of any Company securities, and purchases and sales of Company securities by any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199390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96" w:name="page97"/>
    <w:bookmarkEnd w:id="96"/>
    <w:p>
      <w:pPr>
        <w:ind w:left="460" w:hanging="452"/>
        <w:spacing w:after="0"/>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OFFICER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Covered Person who is unsure whether the information they possess constitutes inside information, or whether a specific transaction is covered by this Policy, should consult with the Compliance Officer for guidance.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Compliance Officer shall be the Chief Financial Officer, unless otherwise approved by the Board. The Compliance Officer may designate one or more individuals to perform the Compliance Officer’s duties (which may include the Chief Executive Officer) if the Compliance Officer is not available. The determinations of the Compliance Officer or any designated individual, as applicable, under this Policy are final.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duties and responsibilities of the Compliance Officer include the following:</w:t>
      </w:r>
    </w:p>
    <w:p>
      <w:pPr>
        <w:spacing w:after="0" w:line="27" w:lineRule="exact"/>
        <w:rPr>
          <w:sz w:val="20"/>
          <w:szCs w:val="20"/>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interpreting this Policy and monitoring and enforcing compliance with all of its provisions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all inquiries relating to this Policy and its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and announcing special trading blackout periods during which trading in Company securities is prohibited by specific persons;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revisions to this Policy (with the assistance of outside legal counsel as necessary) to reflect changes in applicable laws, regulations or listing standards, provided that all changes to this Policy must be approved by the Board;</w:t>
      </w:r>
    </w:p>
    <w:p>
      <w:pPr>
        <w:ind w:left="660" w:right="20" w:hanging="328"/>
        <w:spacing w:after="0" w:line="250"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providing or otherwise making available copies of this Policy to all Covered Persons and overseeing periodic training related to this Policy;</w:t>
      </w: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maintenance of records required by the provisions of this Policy;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duties and responsibilities as are consistent with the terms of this Policy.</w:t>
      </w:r>
    </w:p>
    <w:p>
      <w:pPr>
        <w:spacing w:after="0" w:line="20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OF INFORMATION RELATING TO THE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7.1. Access to Information. </w:t>
      </w:r>
      <w:r>
        <w:rPr>
          <w:rFonts w:ascii="Times New Roman" w:cs="Times New Roman" w:eastAsia="Times New Roman" w:hAnsi="Times New Roman"/>
          <w:sz w:val="18"/>
          <w:szCs w:val="18"/>
          <w:color w:val="auto"/>
        </w:rPr>
        <w:t>Risk of insider trading violations by individuals employed with or contracted by the Company can be substantially limited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restricting the pool of individuals with access to inside information to the greatest extent possible. Access to inside information about the Company should be limited to officers, directors, employees, and contractors of the Company on a need-to-know basis. In addition, such information should not be communicated to anyone outside of the Company, unless such person has signed an appropriate non-disclosure agreement prior to dissemination of the information. When communication of inside information about the Company becomes necessary, all directors, officers, employees, and contractors must take care to emphasize the need for confidential treatment of such information and adherence to the Company’s policies with regard to confidential information.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7.2 Disclosure of Information. </w:t>
      </w:r>
      <w:r>
        <w:rPr>
          <w:rFonts w:ascii="Times New Roman" w:cs="Times New Roman" w:eastAsia="Times New Roman" w:hAnsi="Times New Roman"/>
          <w:sz w:val="18"/>
          <w:szCs w:val="18"/>
          <w:color w:val="auto"/>
        </w:rPr>
        <w:t>Inside information is the property of the Company and the confidentiality of this information must be strictly maintained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Company. Only the Company’s executive officers, as such are determined from time to time by the Board, are authorized to disclose inside information about the Company to the public, members of the investment community or stockholders, unless one of these officers has expressly authorized disclosure of such information by another employee in advance. All inquiries regarding the Company should be directed to the Chief Executive Officer, Chief Financial Officer, or other senior financial officers, and no other comment should be provided.</w:t>
      </w:r>
    </w:p>
    <w:p>
      <w:pPr>
        <w:spacing w:after="0" w:line="179"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REQUIRED FOR TRADING AND TRADING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Covered Persons must pre-clear all transactions in Company securities as provided below:</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The Covered Person proposing to effectuate a trade or other transaction in Company securities must submit a completed Request for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Trade Securities Form to the Compliance Officer in accordance with the instructions provided on Exhibit A hereto, or as may otherwise be approved by the Compliance Officer and communicated to the Covered Person from time to time.</w:t>
      </w:r>
    </w:p>
    <w:p>
      <w:pPr>
        <w:spacing w:after="0" w:line="17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color w:val="auto"/>
        </w:rPr>
        <w:t>The Compliance Officer must approve the proposed trade or other transaction in writing. If the proposed transaction is not completed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trading days after the Covered Person has received pre-clearance (or fewer trading days, if so designated as a condition to receiving clearance), preclearance for the transaction (or any unfilled portion) must be re-requested since circumstances may have changed over that time period.</w:t>
      </w:r>
    </w:p>
    <w:p>
      <w:pPr>
        <w:spacing w:after="0" w:line="176"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color w:val="auto"/>
        </w:rPr>
        <w:t>The Compliance Officer’s decision with respect to the pre-clearance of a particular trade or other transaction, whether approved or denied,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final and shall be kept confidential by the requestor.</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All Covered Persons must pre-clear any trading plan or arrangement adopted under Rule 10b5-1 of the Exchange Act (each,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as provided below:</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color w:val="auto"/>
        </w:rPr>
        <w:t>Any Covered Person who wishes to implement a Trading Plan must first pre-clear the Trading Plan, and any renewals, amendments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modifications of the Trading Plan, with the Compliance Officer (or, in the case of the Compliance Officer, with the Chief Financial Officer). To obtain pre-clearance for implementing, renewing, amending or modifying any Trading Plan please email a completed Request for Approval to Trade Securities Form, attached hereto as Exhibit A, to the Compliance Officer at Shawna.Bowin@expion360.com.</w:t>
      </w:r>
    </w:p>
    <w:p>
      <w:pPr>
        <w:spacing w:after="0" w:line="176"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color w:val="auto"/>
        </w:rPr>
        <w:t>The Compliance Officer must approve the Trading Plan, or any renewals, amendments or modifications, in writing before it may be adopted.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proposed Trading Plan is not entered into, renewed, amended or modified by the Covered Person within five trading days after such Covered Person received pre-clearance (or fewer trading days, if so designated as a condition to receiving clearance), pre-clearance for the Trading Plan must be re-requested from the Compliance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the adoption of a Trading Plan and the applicable requirements and limitations, see Section 10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ind w:left="460" w:hanging="452"/>
        <w:spacing w:after="0"/>
        <w:tabs>
          <w:tab w:leader="none" w:pos="4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9.1 Regular Blackout Periods. </w:t>
      </w:r>
      <w:r>
        <w:rPr>
          <w:rFonts w:ascii="Times New Roman" w:cs="Times New Roman" w:eastAsia="Times New Roman" w:hAnsi="Times New Roman"/>
          <w:sz w:val="18"/>
          <w:szCs w:val="18"/>
          <w:color w:val="auto"/>
        </w:rPr>
        <w:t>As a matter of good corporate governance, the Company institutes trading blackout periods during predetermined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Covered Persons may not trade or effectuate any other transactions in Company securities during the period that begins with the day that is the 15th calendar day before the end of the fiscal quarter and continues until the start of trading on the second full trading day after the Company’s public release of quarterly or annual financial results. Trades or other transactions made pursuant to an approved Trading Plan (but not the adoption, renewal, amendment, modification or termination of a Trading Plan; see Section 10 below) and pursuant to a hardship exception (see Section 9.3 below) are exempted from this restriction.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9.2 Special Blackout Periods. </w:t>
      </w:r>
      <w:r>
        <w:rPr>
          <w:rFonts w:ascii="Times New Roman" w:cs="Times New Roman" w:eastAsia="Times New Roman" w:hAnsi="Times New Roman"/>
          <w:sz w:val="18"/>
          <w:szCs w:val="18"/>
          <w:color w:val="auto"/>
        </w:rPr>
        <w:t>From time to time, the Compliance Officer may determine that trading or transacting in Company securities is inappropriate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an otherwise open trading window due to the existence, or potential existence, of inside information. Accordingly, the Compliance Officer may prohibit trading or other transactions at any time by announcing a special blackout period and the scope of impacted personnel (which may include designated Covered Persons). The Compliance Officer will provide written notice of any modification of the trading blackout policy or any additional prohibition on trading during the period when trading or other transactions are otherwise permitted under this Policy. The existence of a special blackout period should be considered confidential information and any Covered Person to whom the special blackout period applies shall be prohibited from communicating the existence of the special blackout period to anyone to whom the special blackout period does not apply.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9.3 Hardship Trading Exceptions. </w:t>
      </w:r>
      <w:r>
        <w:rPr>
          <w:rFonts w:ascii="Times New Roman" w:cs="Times New Roman" w:eastAsia="Times New Roman" w:hAnsi="Times New Roman"/>
          <w:sz w:val="18"/>
          <w:szCs w:val="18"/>
          <w:color w:val="auto"/>
        </w:rPr>
        <w:t>The Compliance Officer may, on a case-by-case basis, authorize trading or transactions in Company securities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blackout period due to a Covered Person’s financial or other hardship. Any Covered Person wanting to rely on this exception must first notify the Compliance Officer in writing of the circumstance of the hardship and the amount and nature of the proposed trade or transaction. Such Covered Person will also be required to certify to the Compliance Officer in writing no earlier than two trading days prior to the proposed trade or transaction that they are not in possession of inside information. Upon authorization from the Compliance Officer, the Covered Person may trade or transact only the trade or transaction approved by the Compliance Officer, although such Covered Person will be responsible for ensuring that any such trade or transaction complies in all other respects with this Policy.</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9.4 No Safe Harbors. </w:t>
      </w:r>
      <w:r>
        <w:rPr>
          <w:rFonts w:ascii="Times New Roman" w:cs="Times New Roman" w:eastAsia="Times New Roman" w:hAnsi="Times New Roman"/>
          <w:sz w:val="18"/>
          <w:szCs w:val="18"/>
          <w:color w:val="auto"/>
        </w:rPr>
        <w:t>There are no unconditional “safe harbors” for trades or transactions made at particular times, and all persons subject to this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exercise good judgment at all times. Even when a regular blackout period is not in effect, you may be prohibited from engaging in any transactions involving the Company’s securities because you possess inside information concerning the Company or its securities, are subject to a special blackout period, or are otherwise restricted under this Policy.</w:t>
      </w:r>
    </w:p>
    <w:p>
      <w:pPr>
        <w:spacing w:after="0" w:line="176" w:lineRule="exact"/>
        <w:rPr>
          <w:sz w:val="20"/>
          <w:szCs w:val="20"/>
          <w:color w:val="auto"/>
        </w:rPr>
      </w:pPr>
    </w:p>
    <w:p>
      <w:pPr>
        <w:ind w:left="540" w:hanging="532"/>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Trading Plan is a contract to purchase, sell, or otherwise transact securities according to a written instruction or plan established prior to effecting any transactions in the securities. In general, a Trading Plan must set forth a non-discretionary trading method by leaving the amount of securities to be purchased, sold or otherwise transacted and the price and date for each event to either (i) a written specification, (ii) a written formula, or (iii) a third party.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adoption of a Trading Plan does not obviate the requirement to otherwise comply with insider trading laws, it does provide an affirmative defense to a claim that the insider acted on the basis of material, nonpublic information, even if an individual was aware of such information at the time of the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be adopted in good faith, the Trading Plan must be adopted, renewed, amended, or modified when the individual has no knowledge of inside information, and the plan must not be made as part of a scheme to fraudulently evade insider trading prohibitions.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obtaining pre-clearance of a Trading Plan as required by Section 8 above, a Trading Plan must meet the following requirements and specifications: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 No Adoption During Blackout Period. </w:t>
      </w:r>
      <w:r>
        <w:rPr>
          <w:rFonts w:ascii="Times New Roman" w:cs="Times New Roman" w:eastAsia="Times New Roman" w:hAnsi="Times New Roman"/>
          <w:sz w:val="18"/>
          <w:szCs w:val="18"/>
          <w:color w:val="auto"/>
        </w:rPr>
        <w:t>A Trading Plan involving the Company’s securities may not be adopted, renewed, amended, or modified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Covered Person during any blackout period, even if the individual is not then in possession of any inside information.</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10.2 Minimum 90-Day Cooling-Off Period for Directors and Officers. </w:t>
      </w:r>
      <w:r>
        <w:rPr>
          <w:rFonts w:ascii="Times New Roman" w:cs="Times New Roman" w:eastAsia="Times New Roman" w:hAnsi="Times New Roman"/>
          <w:sz w:val="18"/>
          <w:szCs w:val="18"/>
          <w:color w:val="auto"/>
        </w:rPr>
        <w:t>A Trading Plan adopted by any director or officer may not commence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later of (i) 90 calendar days after the adoption, renewal, amendment, or modification of the Trading Plan, or (ii) two business days following the disclosure of the Company’s financial results in a Form 10-Q or Form 10-K for the fiscal quarter in which the Trading Plan was adopted, renewed, amended, or modified (but in any event, the required cooling-off period is subject to a maximum of 120 calendar days after adoption, renewal, amendment, or modification of the Trading Plan).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 Cooling-Off Period For Covered Persons Who are Not Directors and Officers. </w:t>
      </w:r>
      <w:r>
        <w:rPr>
          <w:rFonts w:ascii="Times New Roman" w:cs="Times New Roman" w:eastAsia="Times New Roman" w:hAnsi="Times New Roman"/>
          <w:sz w:val="18"/>
          <w:szCs w:val="18"/>
          <w:color w:val="auto"/>
        </w:rPr>
        <w:t>The Trading Plan of a Covered Person who is not a director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may not commence until the passage of at least 30 calendar days following the adoption, renewal, amendment, or modification of the Trading Plan.</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10.4 Director and Officer Certifications. </w:t>
      </w:r>
      <w:r>
        <w:rPr>
          <w:rFonts w:ascii="Times New Roman" w:cs="Times New Roman" w:eastAsia="Times New Roman" w:hAnsi="Times New Roman"/>
          <w:sz w:val="18"/>
          <w:szCs w:val="18"/>
          <w:color w:val="auto"/>
        </w:rPr>
        <w:t>Any Trading Plan adopted by a director or officer must include a representation certifying that, at the time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renewal, amendment, or modification, the director or officer is: (i) not aware of material nonpublic information about the Company or its securities; and (ii) adopting, renewing, amending, or modifying the Trading Plan in good faith and not as part of a plan or scheme to evade the prohibitions of Rule 10b5-1.</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10.5 Prohibition on Multiple Overlapping Trading Plans. </w:t>
      </w:r>
      <w:r>
        <w:rPr>
          <w:rFonts w:ascii="Times New Roman" w:cs="Times New Roman" w:eastAsia="Times New Roman" w:hAnsi="Times New Roman"/>
          <w:sz w:val="18"/>
          <w:szCs w:val="18"/>
          <w:color w:val="auto"/>
        </w:rPr>
        <w:t>No multiple overlapping Trading Plans will be permitted unless qualifying for 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exceptions and pre-cleared by the Compliance Officer under Section 8 above: (i) a later-commencing Trading Plan that is not authorized to begin until after all trades under the earlier-commencing Trading Plan are completed or expired; provided, however, that if a participant terminates the existing Trading Plan after adoption of the replacement Trading Plan but prior to the existing Trading Plan’s scheduled expiration, the participant trades may not commence under the replacement Trading Plan until the expiration of the applicable waiting period set forth in Section 10.2 or 10.3 above, as applicable, measured from the date of termination of the existing Trading Plan; or (ii) an outstanding or additional Trading Plan qualifies as an eligible sell-to-cover transaction (i.e., a sale of securities for the purpose of generating funds to cover the withholding taxes associated with equity vesting and elections under 401(k) plans or employee stock purchase plans that may be structured as Trading Plans). In addition, if a participant enters into separate contracts at the same time with the same or different agents to execute trades that are collectively compliant with Rule 10b5-1, such contracts may be treated as a single Trading Plan and a material modification (i.e., one that affects the amount, price, or timing of the purchase or sale of the securities underlying the Trading Plan) of any such contract will be considered a material modification of the other such contracts.</w:t>
      </w:r>
    </w:p>
    <w:p>
      <w:pPr>
        <w:sectPr>
          <w:pgSz w:w="11900" w:h="16838" w:orient="portrait"/>
          <w:cols w:equalWidth="0" w:num="1">
            <w:col w:w="11240"/>
          </w:cols>
          <w:pgMar w:left="320" w:top="549" w:right="339" w:bottom="0" w:gutter="0" w:footer="0" w:header="0"/>
        </w:sectPr>
      </w:pPr>
    </w:p>
    <w:bookmarkStart w:id="98" w:name="page99"/>
    <w:bookmarkEnd w:id="98"/>
    <w:p>
      <w:pPr>
        <w:jc w:val="both"/>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both"/>
        <w:spacing w:after="0" w:line="256" w:lineRule="auto"/>
        <w:rPr>
          <w:sz w:val="20"/>
          <w:szCs w:val="20"/>
          <w:color w:val="auto"/>
        </w:rPr>
      </w:pPr>
      <w:r>
        <w:rPr>
          <w:rFonts w:ascii="Times New Roman" w:cs="Times New Roman" w:eastAsia="Times New Roman" w:hAnsi="Times New Roman"/>
          <w:sz w:val="18"/>
          <w:szCs w:val="18"/>
          <w:color w:val="auto"/>
        </w:rPr>
        <w:t>Any amendments or modifications to a Trading Plan must meet each of the requirements of a new Trading Plan as described above, except for administrative amendments or modifications that do not change the amount, price or timing of the purchase or sale of the securities underlying the Trading Plan. In addition, while this Policy does not limit the ability of a Covered Person to terminate a previously adopted Trading Plan, the termination of a Trading Plan needs to be pre-cleared with the Compliance Officer and would be strongly discouraged while in possession of inside information. Any new Trading Plan adopted following the termination of a previously adopted Trading Plan must meet each of the requirements of a new Trading Plan as described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effected under an approved Trading Plan will not require further pre-clearance at the time of the transaction and will typically not be subject to future trading blackout periods (regular or special) that may be in effect under this Policy at the time of the transaction (although the Compliance Officer retains the discretion to terminate a Trading Plan during any blackout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Compliance Officer may, from time to time, institute additional parameters and requirements regarding Trading Plans.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sales, and other transactions made pursuant to a Trading Plan must still comply with all other applicable reporting requirements under federal and state securities laws, including filings pursuant to Section 16 of the Exchange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 rules require the Company to make disclosures concerning the Trading Plans adopted, renewed, amended, modified, or terminated by its officers and directors, including names, titles, dates, and duration of the Trading Plans, and the aggregate number of securities to be sold or purchased pursuant to the Trading Plans. Accordingly, officers and directors must timely provide such information regarding their Trading Plan to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TRADING PRE-CLEARANCE INSTRUCTIONS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AND REQUEST FOR APPROVAL TO TRADE SECURITIES FORM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Instructions for Pre-Clearance of Exercise of Stock Options and Sale of Shares Held at OptionTrax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Employee equity awards generally are held in OptionTrax, the online equity plan management platform utilized by the Company. Please request pre-clearance for transactions involving shares held in OptionTrax by completing the Request for Approval to Trade Securities Form (next page) and emailing it to the Compliance Officer at </w:t>
      </w:r>
      <w:r>
        <w:rPr>
          <w:rFonts w:ascii="Times New Roman" w:cs="Times New Roman" w:eastAsia="Times New Roman" w:hAnsi="Times New Roman"/>
          <w:sz w:val="18"/>
          <w:szCs w:val="18"/>
          <w:u w:val="single" w:color="auto"/>
          <w:color w:val="auto"/>
        </w:rPr>
        <w:t>Shawna.Bowin@expion360.com.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Instructions for Pre-Clearance of Purchase or Sale of Securities or Exercise of Stock Options/Warrants Held Outside of OptionTrax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processing of your request to purchase or sell shares on the open market, or exercise stock options, please fill out the Request for Approval to Trade Securities Form and email the completed form to the Compliance Officer at </w:t>
      </w:r>
      <w:r>
        <w:rPr>
          <w:rFonts w:ascii="Times New Roman" w:cs="Times New Roman" w:eastAsia="Times New Roman" w:hAnsi="Times New Roman"/>
          <w:sz w:val="18"/>
          <w:szCs w:val="18"/>
          <w:u w:val="single" w:color="auto"/>
          <w:color w:val="auto"/>
        </w:rPr>
        <w:t>Shawna.Bowin@expion360.com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The Company requests that you place the following in the subject line of your email, as applicable: “Pre-Clearance Request — Purchase of Shares” or “Pre-Clearance Request — Sale of Shares” and include your completed Request for Approval to Trade Securities Form as an attachment.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need any information about the securities you currently hold, vesting schedule, exercise price, etc., you can view that information by logging into OptionTrax, or contact the Chief Financial Officer at </w:t>
      </w:r>
      <w:r>
        <w:rPr>
          <w:rFonts w:ascii="Times New Roman" w:cs="Times New Roman" w:eastAsia="Times New Roman" w:hAnsi="Times New Roman"/>
          <w:sz w:val="18"/>
          <w:szCs w:val="18"/>
          <w:u w:val="single" w:color="auto"/>
          <w:color w:val="auto"/>
        </w:rPr>
        <w:t>Shawna.Bowin@expion360.com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need any of the information requested in the Request for Approval to Trade Securities Form, please contact the Company’s Compliance Officer at </w:t>
      </w:r>
      <w:r>
        <w:rPr>
          <w:rFonts w:ascii="Times New Roman" w:cs="Times New Roman" w:eastAsia="Times New Roman" w:hAnsi="Times New Roman"/>
          <w:sz w:val="18"/>
          <w:szCs w:val="18"/>
          <w:u w:val="single" w:color="auto"/>
          <w:color w:val="auto"/>
        </w:rPr>
        <w:t>Shawna.Bowin@expion360.com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the ultimate responsibility for compliance with federal and state securities laws rests with you, and that the clearance of any proposed transaction should not be construed as a guarantee that you will not later be found to have been in possession of inside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REQUEST FOR APPROVAL TO TRADE SECURITIES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EXPION360 INC. (XPON)</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Please submit the completed form to Shawna.Bowin@expion360.com at least one, but not more than five, business days in advance of the proposed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Desired Date of Transaction: 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Transaction &amp; Security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Purchase of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Number of shares being purchased: 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Sale of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Number of shares being sold: 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Grant and/or purchase date(s) of shares to be sold: 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Exercise of stock options and sale of all underlying shares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Number of stock options being exercised: 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Exercise of stock options and sale of part of underlying shares (including “sell-to-cover” transactions)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Number of stock options being exercised: 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Number of underlying shares being sold: 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Entry into 10b5-1 Trading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Do you have an existing 10b5-1 Trading Plan currently in place?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so, when was it executed: 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Modification or Termination of an existing 10b5-1 Trading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When was existing 10b5-1 Trading Plan established: 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 this a modification or termination entirely?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Gift of Shares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Number of shares being gifted: __________</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Broker Contact Information:</w:t>
      </w:r>
    </w:p>
    <w:p>
      <w:pPr>
        <w:spacing w:after="0" w:line="188" w:lineRule="exact"/>
        <w:rPr>
          <w:sz w:val="20"/>
          <w:szCs w:val="20"/>
          <w:color w:val="auto"/>
        </w:rPr>
      </w:pPr>
    </w:p>
    <w:p>
      <w:pPr>
        <w:ind w:left="6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If the shares you wish to transact are or will be held at Stifel, the Company’s captive broker accessible through Option Trax, click here: </w:t>
      </w:r>
      <w:r>
        <w:rPr>
          <w:rFonts w:ascii="MS PGothic" w:cs="MS PGothic" w:eastAsia="MS PGothic" w:hAnsi="MS PGothic"/>
          <w:sz w:val="17"/>
          <w:szCs w:val="17"/>
          <w:color w:val="auto"/>
        </w:rPr>
        <w:t>☐</w:t>
      </w: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you have another broker, please provide their information: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Name: 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Contact Name: 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__________</w:t>
      </w:r>
    </w:p>
    <w:p>
      <w:pPr>
        <w:spacing w:after="0" w:line="203"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I am not currently in possession of any material non-public information relating to Expion360 Inc. I hereby certify that the statements made on this form are true and correct.</w:t>
      </w:r>
    </w:p>
    <w:p>
      <w:pPr>
        <w:spacing w:after="0" w:line="15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 understand that clearance may be rescinded prior to effectuating the above transaction if material nonpublic information regarding Expion360 Inc. arises and, in the reasonable judgment of Expion360 Inc.,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Signature:__________ 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Print Name: __________ 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__________ __________</w:t>
      </w:r>
    </w:p>
    <w:p>
      <w:pPr>
        <w:sectPr>
          <w:pgSz w:w="11900" w:h="16838" w:orient="portrait"/>
          <w:cols w:equalWidth="0" w:num="1">
            <w:col w:w="11240"/>
          </w:cols>
          <w:pgMar w:left="320" w:top="549" w:right="339" w:bottom="0" w:gutter="0" w:footer="0" w:header="0"/>
        </w:sectPr>
      </w:pPr>
    </w:p>
    <w:bookmarkStart w:id="102" w:name="page103"/>
    <w:bookmarkEnd w:id="102"/>
    <w:p>
      <w:pPr>
        <w:ind w:left="4"/>
        <w:spacing w:after="0"/>
        <w:rPr>
          <w:sz w:val="20"/>
          <w:szCs w:val="20"/>
          <w:color w:val="auto"/>
        </w:rPr>
      </w:pPr>
      <w:r>
        <w:rPr>
          <w:rFonts w:ascii="Times New Roman" w:cs="Times New Roman" w:eastAsia="Times New Roman" w:hAnsi="Times New Roman"/>
          <w:sz w:val="18"/>
          <w:szCs w:val="18"/>
          <w:color w:val="auto"/>
        </w:rPr>
        <w:t>Telephone Number: __________ ___</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LEGAL DEPARTMENT USE:</w:t>
      </w:r>
    </w:p>
    <w:p>
      <w:pPr>
        <w:spacing w:after="0" w:line="26" w:lineRule="exact"/>
        <w:rPr>
          <w:sz w:val="20"/>
          <w:szCs w:val="20"/>
          <w:color w:val="auto"/>
        </w:rPr>
      </w:pPr>
    </w:p>
    <w:p>
      <w:pPr>
        <w:ind w:left="204" w:hanging="204"/>
        <w:spacing w:after="0"/>
        <w:tabs>
          <w:tab w:leader="none" w:pos="204"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Request Approved (transaction must be completed within five business days after approval)</w:t>
      </w:r>
    </w:p>
    <w:p>
      <w:pPr>
        <w:spacing w:after="0" w:line="15" w:lineRule="exact"/>
        <w:rPr>
          <w:rFonts w:ascii="MS PGothic" w:cs="MS PGothic" w:eastAsia="MS PGothic" w:hAnsi="MS PGothic"/>
          <w:sz w:val="18"/>
          <w:szCs w:val="18"/>
          <w:color w:val="auto"/>
        </w:rPr>
      </w:pPr>
    </w:p>
    <w:p>
      <w:pPr>
        <w:ind w:left="204" w:hanging="204"/>
        <w:spacing w:after="0"/>
        <w:tabs>
          <w:tab w:leader="none" w:pos="204"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Request Denied</w:t>
      </w:r>
    </w:p>
    <w:p>
      <w:pPr>
        <w:spacing w:after="0" w:line="9" w:lineRule="exact"/>
        <w:rPr>
          <w:rFonts w:ascii="MS PGothic" w:cs="MS PGothic" w:eastAsia="MS PGothic" w:hAnsi="MS PGothic"/>
          <w:sz w:val="18"/>
          <w:szCs w:val="18"/>
          <w:color w:val="auto"/>
        </w:rPr>
      </w:pPr>
    </w:p>
    <w:p>
      <w:pPr>
        <w:ind w:left="204" w:hanging="204"/>
        <w:spacing w:after="0"/>
        <w:tabs>
          <w:tab w:leader="none" w:pos="204"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Request Approved with the following modification:</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__________ 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16 Filing Information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all applicable boxes and complete blanks)</w:t>
      </w:r>
    </w:p>
    <w:p>
      <w:pPr>
        <w:spacing w:after="0" w:line="166"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Is a Form 3 or 4 required? </w:t>
      </w:r>
      <w:r>
        <w:rPr>
          <w:rFonts w:ascii="MS PGothic" w:cs="MS PGothic" w:eastAsia="MS PGothic" w:hAnsi="MS PGothic"/>
          <w:sz w:val="18"/>
          <w:szCs w:val="18"/>
          <w:color w:val="auto"/>
        </w:rPr>
        <w:t>☐</w:t>
      </w:r>
    </w:p>
    <w:p>
      <w:pPr>
        <w:spacing w:after="0" w:line="63"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Is a Form 144 required? </w:t>
      </w:r>
      <w:r>
        <w:rPr>
          <w:rFonts w:ascii="MS PGothic" w:cs="MS PGothic" w:eastAsia="MS PGothic" w:hAnsi="MS PGothic"/>
          <w:sz w:val="18"/>
          <w:szCs w:val="18"/>
          <w:color w:val="auto"/>
        </w:rPr>
        <w:t>☐</w:t>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filing of last Form 144: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219075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121" w:right="1440" w:bottom="1440" w:gutter="0" w:footer="0" w:header="0"/>
        </w:sectPr>
      </w:pPr>
    </w:p>
    <w:bookmarkStart w:id="103" w:name="page104"/>
    <w:bookmarkEnd w:id="103"/>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S-3 (No. 333-272956), the Registration Statement on Form S-1 (No. 333-276663), the Registration Statement on Form S-1 (No. 333-280996), the Registration Statement on Form S-8 (No. 333-278441), and the Registration Statement on Form S-8 (No. 333-268016) of our report dated March 31, 2025, with respect to the financial statements of Expion360 Inc. included in this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M&amp;K CPAS, PLLC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www.mkacpas.com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ectPr>
          <w:pgSz w:w="11900" w:h="16838" w:orient="portrait"/>
          <w:cols w:equalWidth="0" w:num="1">
            <w:col w:w="11240"/>
          </w:cols>
          <w:pgMar w:left="320" w:top="117" w:right="339" w:bottom="1440" w:gutter="0" w:footer="0" w:header="0"/>
        </w:sectPr>
      </w:pPr>
    </w:p>
    <w:bookmarkStart w:id="104" w:name="page105"/>
    <w:bookmarkEnd w:id="104"/>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2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OF THE SECURITIES EXCHANGE ACT OF 1934, AS AMENDED,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Hammer, certify that:</w:t>
      </w:r>
    </w:p>
    <w:p>
      <w:pPr>
        <w:spacing w:after="0" w:line="117" w:lineRule="exact"/>
        <w:rPr>
          <w:sz w:val="20"/>
          <w:szCs w:val="20"/>
          <w:color w:val="auto"/>
        </w:rPr>
      </w:pPr>
    </w:p>
    <w:p>
      <w:pPr>
        <w:ind w:left="380" w:hanging="318"/>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(the “Report”) of Expion360 Inc. (the “Company”);</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the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Joseph Hammer</w:t>
            </w:r>
          </w:p>
        </w:tc>
      </w:tr>
      <w:tr>
        <w:trPr>
          <w:trHeight w:val="191"/>
        </w:trPr>
        <w:tc>
          <w:tcPr>
            <w:tcW w:w="7220" w:type="dxa"/>
            <w:vAlign w:val="bottom"/>
          </w:tcPr>
          <w:p>
            <w:pPr>
              <w:spacing w:after="0"/>
              <w:rPr>
                <w:sz w:val="16"/>
                <w:szCs w:val="16"/>
                <w:color w:val="auto"/>
              </w:rPr>
            </w:pPr>
          </w:p>
        </w:tc>
        <w:tc>
          <w:tcPr>
            <w:tcW w:w="39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Joseph Hammer</w:t>
            </w:r>
          </w:p>
        </w:tc>
      </w:tr>
      <w:tr>
        <w:trPr>
          <w:trHeight w:val="216"/>
        </w:trPr>
        <w:tc>
          <w:tcPr>
            <w:tcW w:w="72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Chairman of the</w:t>
            </w:r>
          </w:p>
        </w:tc>
      </w:tr>
      <w:tr>
        <w:trPr>
          <w:trHeight w:val="214"/>
        </w:trPr>
        <w:tc>
          <w:tcPr>
            <w:tcW w:w="72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236"/>
        </w:trPr>
        <w:tc>
          <w:tcPr>
            <w:tcW w:w="7220" w:type="dxa"/>
            <w:vAlign w:val="bottom"/>
          </w:tcPr>
          <w:p>
            <w:pPr>
              <w:spacing w:after="0"/>
              <w:rPr>
                <w:sz w:val="20"/>
                <w:szCs w:val="20"/>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1440" w:gutter="0" w:footer="0" w:header="0"/>
        </w:sectPr>
      </w:pPr>
    </w:p>
    <w:bookmarkStart w:id="105" w:name="page106"/>
    <w:bookmarkEnd w:id="10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29"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OF THE SECURITIES EXCHANGE ACT OF 1934, AS AMENDED,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Shawna Bowin, certify that:</w:t>
      </w:r>
    </w:p>
    <w:p>
      <w:pPr>
        <w:spacing w:after="0" w:line="117" w:lineRule="exact"/>
        <w:rPr>
          <w:sz w:val="20"/>
          <w:szCs w:val="20"/>
          <w:color w:val="auto"/>
        </w:rPr>
      </w:pPr>
    </w:p>
    <w:p>
      <w:pPr>
        <w:ind w:left="380" w:hanging="318"/>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(the “Report”) of Expion360 Inc. (the “Company”);</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Shawna Bowin</w:t>
            </w:r>
          </w:p>
        </w:tc>
      </w:tr>
      <w:tr>
        <w:trPr>
          <w:trHeight w:val="191"/>
        </w:trPr>
        <w:tc>
          <w:tcPr>
            <w:tcW w:w="7220" w:type="dxa"/>
            <w:vAlign w:val="bottom"/>
          </w:tcPr>
          <w:p>
            <w:pPr>
              <w:spacing w:after="0"/>
              <w:rPr>
                <w:sz w:val="16"/>
                <w:szCs w:val="16"/>
                <w:color w:val="auto"/>
              </w:rPr>
            </w:pPr>
          </w:p>
        </w:tc>
        <w:tc>
          <w:tcPr>
            <w:tcW w:w="39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Shawna Bowin</w:t>
            </w:r>
          </w:p>
        </w:tc>
      </w:tr>
      <w:tr>
        <w:trPr>
          <w:trHeight w:val="214"/>
        </w:trPr>
        <w:tc>
          <w:tcPr>
            <w:tcW w:w="72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7220" w:type="dxa"/>
            <w:vAlign w:val="bottom"/>
          </w:tcPr>
          <w:p>
            <w:pPr>
              <w:spacing w:after="0"/>
              <w:rPr>
                <w:sz w:val="20"/>
                <w:szCs w:val="20"/>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Expion360 Inc. (the “Company”), hereby certifies, that, to his knowledge:</w:t>
      </w:r>
    </w:p>
    <w:p>
      <w:pPr>
        <w:spacing w:after="0" w:line="162" w:lineRule="exact"/>
        <w:rPr>
          <w:sz w:val="20"/>
          <w:szCs w:val="20"/>
          <w:color w:val="auto"/>
        </w:rPr>
      </w:pPr>
    </w:p>
    <w:p>
      <w:pPr>
        <w:ind w:left="980" w:right="2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2025 (the “Report”) of the Company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Joseph Hammer</w:t>
            </w:r>
          </w:p>
        </w:tc>
      </w:tr>
      <w:tr>
        <w:trPr>
          <w:trHeight w:val="191"/>
        </w:trPr>
        <w:tc>
          <w:tcPr>
            <w:tcW w:w="7220" w:type="dxa"/>
            <w:vAlign w:val="bottom"/>
          </w:tcPr>
          <w:p>
            <w:pPr>
              <w:spacing w:after="0"/>
              <w:rPr>
                <w:sz w:val="16"/>
                <w:szCs w:val="16"/>
                <w:color w:val="auto"/>
              </w:rPr>
            </w:pPr>
          </w:p>
        </w:tc>
        <w:tc>
          <w:tcPr>
            <w:tcW w:w="39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Joseph Hammer</w:t>
            </w:r>
          </w:p>
        </w:tc>
      </w:tr>
      <w:tr>
        <w:trPr>
          <w:trHeight w:val="216"/>
        </w:trPr>
        <w:tc>
          <w:tcPr>
            <w:tcW w:w="72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Chairman of the</w:t>
            </w:r>
          </w:p>
        </w:tc>
      </w:tr>
      <w:tr>
        <w:trPr>
          <w:trHeight w:val="214"/>
        </w:trPr>
        <w:tc>
          <w:tcPr>
            <w:tcW w:w="72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236"/>
        </w:trPr>
        <w:tc>
          <w:tcPr>
            <w:tcW w:w="7220" w:type="dxa"/>
            <w:vAlign w:val="bottom"/>
          </w:tcPr>
          <w:p>
            <w:pPr>
              <w:spacing w:after="0"/>
              <w:rPr>
                <w:sz w:val="20"/>
                <w:szCs w:val="20"/>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Expion360 Inc. (the “Company”), hereby certifies, that, to her knowledge:</w:t>
      </w:r>
    </w:p>
    <w:p>
      <w:pPr>
        <w:spacing w:after="0" w:line="162" w:lineRule="exact"/>
        <w:rPr>
          <w:sz w:val="20"/>
          <w:szCs w:val="20"/>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2025 (the “Report”) of the Company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Shawna Bowin</w:t>
            </w:r>
          </w:p>
        </w:tc>
      </w:tr>
      <w:tr>
        <w:trPr>
          <w:trHeight w:val="191"/>
        </w:trPr>
        <w:tc>
          <w:tcPr>
            <w:tcW w:w="7220" w:type="dxa"/>
            <w:vAlign w:val="bottom"/>
          </w:tcPr>
          <w:p>
            <w:pPr>
              <w:spacing w:after="0"/>
              <w:rPr>
                <w:sz w:val="16"/>
                <w:szCs w:val="16"/>
                <w:color w:val="auto"/>
              </w:rPr>
            </w:pPr>
          </w:p>
        </w:tc>
        <w:tc>
          <w:tcPr>
            <w:tcW w:w="39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Shawna Bowin</w:t>
            </w:r>
          </w:p>
        </w:tc>
      </w:tr>
      <w:tr>
        <w:trPr>
          <w:trHeight w:val="214"/>
        </w:trPr>
        <w:tc>
          <w:tcPr>
            <w:tcW w:w="72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7220" w:type="dxa"/>
            <w:vAlign w:val="bottom"/>
          </w:tcPr>
          <w:p>
            <w:pPr>
              <w:spacing w:after="0"/>
              <w:rPr>
                <w:sz w:val="20"/>
                <w:szCs w:val="20"/>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1)"/>
      <w:numFmt w:val="lowerRoman"/>
      <w:start w:val="2"/>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lvl w:ilvl="1">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6"/>
    </w:lvl>
  </w:abstractNum>
  <w:abstractNum w:abstractNumId="17">
    <w:nsid w:val="614FD4A1"/>
    <w:multiLevelType w:val="hybridMultilevel"/>
    <w:lvl w:ilvl="0">
      <w:lvlJc w:val="left"/>
      <w:lvlText w:val="(%1)"/>
      <w:numFmt w:val="lowerRoman"/>
      <w:start w:val="2"/>
    </w:lvl>
  </w:abstractNum>
  <w:abstractNum w:abstractNumId="18">
    <w:nsid w:val="419AC241"/>
    <w:multiLevelType w:val="hybridMultilevel"/>
    <w:lvl w:ilvl="0">
      <w:lvlJc w:val="left"/>
      <w:lvlText w:val="(%1)"/>
      <w:numFmt w:val="lowerRoman"/>
      <w:start w:val="3"/>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lowerRoman"/>
      <w:start w:val="2"/>
    </w:lvl>
  </w:abstractNum>
  <w:abstractNum w:abstractNumId="21">
    <w:nsid w:val="5072367"/>
    <w:multiLevelType w:val="hybridMultilevel"/>
    <w:lvl w:ilvl="0">
      <w:lvlJc w:val="left"/>
      <w:lvlText w:val="[Ÿ]"/>
      <w:numFmt w:val="bullet"/>
      <w:start w:val="1"/>
    </w:lvl>
  </w:abstractNum>
  <w:abstractNum w:abstractNumId="22">
    <w:nsid w:val="3804823E"/>
    <w:multiLevelType w:val="hybridMultilevel"/>
    <w:lvl w:ilvl="0">
      <w:lvlJc w:val="left"/>
      <w:lvlText w:val="%1."/>
      <w:numFmt w:val="decimal"/>
      <w:start w:val="1"/>
    </w:lvl>
    <w:lvl w:ilvl="1">
      <w:lvlJc w:val="left"/>
      <w:lvlText w:val="(%2)"/>
      <w:numFmt w:val="lowerLetter"/>
      <w:start w:val="1"/>
    </w:lvl>
  </w:abstractNum>
  <w:abstractNum w:abstractNumId="23">
    <w:nsid w:val="77465F01"/>
    <w:multiLevelType w:val="hybridMultilevel"/>
    <w:lvl w:ilvl="0">
      <w:lvlJc w:val="left"/>
      <w:lvlText w:val="(%1)"/>
      <w:numFmt w:val="lowerLetter"/>
      <w:start w:val="3"/>
    </w:lvl>
  </w:abstractNum>
  <w:abstractNum w:abstractNumId="24">
    <w:nsid w:val="7724C67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3"/>
    </w:lvl>
  </w:abstractNum>
  <w:abstractNum w:abstractNumId="25">
    <w:nsid w:val="5C482A97"/>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6">
    <w:nsid w:val="2463B9EA"/>
    <w:multiLevelType w:val="hybridMultilevel"/>
    <w:lvl w:ilvl="0">
      <w:lvlJc w:val="left"/>
      <w:lvlText w:val="(%1)"/>
      <w:numFmt w:val="decimal"/>
      <w:start w:val="5"/>
    </w:lvl>
    <w:lvl w:ilvl="1">
      <w:lvlJc w:val="left"/>
      <w:lvlText w:val="%2."/>
      <w:numFmt w:val="decimal"/>
      <w:start w:val="2"/>
    </w:lvl>
    <w:lvl w:ilvl="2">
      <w:lvlJc w:val="left"/>
      <w:lvlText w:val="(%3)"/>
      <w:numFmt w:val="lowerLetter"/>
      <w:start w:val="2"/>
    </w:lvl>
  </w:abstractNum>
  <w:abstractNum w:abstractNumId="27">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8">
    <w:nsid w:val="51EAD36B"/>
    <w:multiLevelType w:val="hybridMultilevel"/>
    <w:lvl w:ilvl="0">
      <w:lvlJc w:val="left"/>
      <w:lvlText w:val="%1"/>
      <w:numFmt w:val="decimal"/>
      <w:start w:val="1"/>
    </w:lvl>
    <w:lvl w:ilvl="1">
      <w:lvlJc w:val="left"/>
      <w:lvlText w:val="(%2)"/>
      <w:numFmt w:val="lowerLetter"/>
      <w:start w:val="2"/>
    </w:lvl>
  </w:abstractNum>
  <w:abstractNum w:abstractNumId="29">
    <w:nsid w:val="2D517796"/>
    <w:multiLevelType w:val="hybridMultilevel"/>
    <w:lvl w:ilvl="0">
      <w:lvlJc w:val="left"/>
      <w:lvlText w:val="%1."/>
      <w:numFmt w:val="decimal"/>
      <w:start w:val="4"/>
    </w:lvl>
    <w:lvl w:ilvl="1">
      <w:lvlJc w:val="left"/>
      <w:lvlText w:val="(%2)"/>
      <w:numFmt w:val="lowerLetter"/>
      <w:start w:val="1"/>
    </w:lvl>
  </w:abstractNum>
  <w:abstractNum w:abstractNumId="30">
    <w:nsid w:val="580BD78F"/>
    <w:multiLevelType w:val="hybridMultilevel"/>
    <w:lvl w:ilvl="0">
      <w:lvlJc w:val="left"/>
      <w:lvlText w:val="%1."/>
      <w:numFmt w:val="decimal"/>
      <w:start w:val="5"/>
    </w:lvl>
    <w:lvl w:ilvl="1">
      <w:lvlJc w:val="left"/>
      <w:lvlText w:val="(%2)"/>
      <w:numFmt w:val="lowerLetter"/>
      <w:start w:val="1"/>
    </w:lvl>
  </w:abstractNum>
  <w:abstractNum w:abstractNumId="31">
    <w:nsid w:val="153EA438"/>
    <w:multiLevelType w:val="hybridMultilevel"/>
    <w:lvl w:ilvl="0">
      <w:lvlJc w:val="left"/>
      <w:lvlText w:val="%1"/>
      <w:numFmt w:val="decimal"/>
      <w:start w:val="1"/>
    </w:lvl>
    <w:lvl w:ilvl="1">
      <w:lvlJc w:val="left"/>
      <w:lvlText w:val="(%2)"/>
      <w:numFmt w:val="lowerLetter"/>
      <w:start w:val="2"/>
    </w:lvl>
  </w:abstractNum>
  <w:abstractNum w:abstractNumId="32">
    <w:nsid w:val="3855585C"/>
    <w:multiLevelType w:val="hybridMultilevel"/>
    <w:lvl w:ilvl="0">
      <w:lvlJc w:val="left"/>
      <w:lvlText w:val="%1."/>
      <w:numFmt w:val="decimal"/>
      <w:start w:val="12"/>
    </w:lvl>
    <w:lvl w:ilvl="1">
      <w:lvlJc w:val="left"/>
      <w:lvlText w:val="%2"/>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decimal"/>
      <w:start w:val="16"/>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2"/>
    </w:lvl>
  </w:abstractNum>
  <w:abstractNum w:abstractNumId="37">
    <w:nsid w:val="725A06FB"/>
    <w:multiLevelType w:val="hybridMultilevel"/>
    <w:lvl w:ilvl="0">
      <w:lvlJc w:val="left"/>
      <w:lvlText w:val="%1."/>
      <w:numFmt w:val="decimal"/>
      <w:start w:val="3"/>
    </w:lvl>
  </w:abstractNum>
  <w:abstractNum w:abstractNumId="38">
    <w:nsid w:val="2CD89A32"/>
    <w:multiLevelType w:val="hybridMultilevel"/>
    <w:lvl w:ilvl="0">
      <w:lvlJc w:val="left"/>
      <w:lvlText w:val="%1."/>
      <w:numFmt w:val="decimal"/>
      <w:start w:val="4"/>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6"/>
    </w:lvl>
  </w:abstractNum>
  <w:abstractNum w:abstractNumId="41">
    <w:nsid w:val="4B588F54"/>
    <w:multiLevelType w:val="hybridMultilevel"/>
    <w:lvl w:ilvl="0">
      <w:lvlJc w:val="left"/>
      <w:lvlText w:val="%1."/>
      <w:numFmt w:val="decimal"/>
      <w:start w:val="6"/>
    </w:lvl>
    <w:lvl w:ilvl="1">
      <w:lvlJc w:val="left"/>
      <w:lvlText w:val="·"/>
      <w:numFmt w:val="bullet"/>
      <w:start w:val="1"/>
    </w:lvl>
  </w:abstractNum>
  <w:abstractNum w:abstractNumId="42">
    <w:nsid w:val="542289EC"/>
    <w:multiLevelType w:val="hybridMultilevel"/>
    <w:lvl w:ilvl="0">
      <w:lvlJc w:val="left"/>
      <w:lvlText w:val="%1."/>
      <w:numFmt w:val="decimal"/>
      <w:start w:val="8"/>
    </w:lvl>
  </w:abstractNum>
  <w:abstractNum w:abstractNumId="43">
    <w:nsid w:val="6DE91B18"/>
    <w:multiLevelType w:val="hybridMultilevel"/>
    <w:lvl w:ilvl="0">
      <w:lvlJc w:val="left"/>
      <w:lvlText w:val="%1."/>
      <w:numFmt w:val="decimal"/>
      <w:start w:val="9"/>
    </w:lvl>
  </w:abstractNum>
  <w:abstractNum w:abstractNumId="44">
    <w:nsid w:val="38437FDB"/>
    <w:multiLevelType w:val="hybridMultilevel"/>
    <w:lvl w:ilvl="0">
      <w:lvlJc w:val="left"/>
      <w:lvlText w:val="%1."/>
      <w:numFmt w:val="decimal"/>
      <w:start w:val="10"/>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jpe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64" Type="http://schemas.openxmlformats.org/officeDocument/2006/relationships/hyperlink" Target="http://www.sec.gov/Archives/edgar/data/1894954/000190359622000125/f2sexpion121721s1ex3_1.htm" TargetMode="External"/><Relationship Id="rId65" Type="http://schemas.openxmlformats.org/officeDocument/2006/relationships/hyperlink" Target="http://www.sec.gov/Archives/edgar/data/1894954/000190359624000610/ex3_1.htm" TargetMode="External"/><Relationship Id="rId66" Type="http://schemas.openxmlformats.org/officeDocument/2006/relationships/hyperlink" Target="http://www.sec.gov/Archives/edgar/data/1894954/000190359624000561/ex3_1.htm" TargetMode="External"/><Relationship Id="rId67" Type="http://schemas.openxmlformats.org/officeDocument/2006/relationships/hyperlink" Target="http://www.sec.gov/Archives/edgar/data/1894954/000190359622000125/f2sexpion121721s1ex4_1.htm" TargetMode="External"/><Relationship Id="rId68" Type="http://schemas.openxmlformats.org/officeDocument/2006/relationships/hyperlink" Target="http://www.sec.gov/Archives/edgar/data/1894954/000190359622000125/f2sexpion121721s1ex4_4.htm" TargetMode="External"/><Relationship Id="rId69" Type="http://schemas.openxmlformats.org/officeDocument/2006/relationships/hyperlink" Target="http://www.sec.gov/Archives/edgar/data/1894954/000190359622000125/f2sexpion121721s1ex4_5.htm" TargetMode="External"/><Relationship Id="rId70" Type="http://schemas.openxmlformats.org/officeDocument/2006/relationships/hyperlink" Target="http://www.sec.gov/Archives/edgar/data/1894954/000190359625000145/ex4_4.htm" TargetMode="External"/><Relationship Id="rId71" Type="http://schemas.openxmlformats.org/officeDocument/2006/relationships/hyperlink" Target="http://www.sec.gov/Archives/edgar/data/1894954/000190359622000125/f2sexpion121721s1ex10_1.htm" TargetMode="External"/><Relationship Id="rId72" Type="http://schemas.openxmlformats.org/officeDocument/2006/relationships/hyperlink" Target="http://www.sec.gov/Archives/edgar/data/1894954/000190359623000244/ex10_15.htm" TargetMode="External"/><Relationship Id="rId73" Type="http://schemas.openxmlformats.org/officeDocument/2006/relationships/hyperlink" Target="http://www.sec.gov/Archives/edgar/data/1894954/000190359623000244/ex10_16.htm" TargetMode="External"/><Relationship Id="rId74" Type="http://schemas.openxmlformats.org/officeDocument/2006/relationships/hyperlink" Target="http://www.sec.gov/Archives/edgar/data/1894954/000190359623000983/ex4_1.htm" TargetMode="External"/><Relationship Id="rId75" Type="http://schemas.openxmlformats.org/officeDocument/2006/relationships/hyperlink" Target="http://www.sec.gov/Archives/edgar/data/1894954/000190359624000479/ex4_1.htm" TargetMode="External"/><Relationship Id="rId76" Type="http://schemas.openxmlformats.org/officeDocument/2006/relationships/hyperlink" Target="http://www.sec.gov/Archives/edgar/data/1894954/000190359624000479/ex4_2.htm" TargetMode="External"/><Relationship Id="rId77" Type="http://schemas.openxmlformats.org/officeDocument/2006/relationships/hyperlink" Target="http://www.sec.gov/Archives/edgar/data/1894954/000190359624000479/ex4_3.htm" TargetMode="External"/><Relationship Id="rId78" Type="http://schemas.openxmlformats.org/officeDocument/2006/relationships/hyperlink" Target="http://www.sec.gov/Archives/edgar/data/1894954/000190359625000486/ex4_1.htm" TargetMode="External"/><Relationship Id="rId79" Type="http://schemas.openxmlformats.org/officeDocument/2006/relationships/hyperlink" Target="http://www.sec.gov/Archives/edgar/data/1894954/000190359625000486/ex10_1.htm" TargetMode="External"/><Relationship Id="rId80" Type="http://schemas.openxmlformats.org/officeDocument/2006/relationships/hyperlink" Target="http://www.sec.gov/Archives/edgar/data/1894954/000190359625000006/ex4_1.htm" TargetMode="External"/><Relationship Id="rId81" Type="http://schemas.openxmlformats.org/officeDocument/2006/relationships/hyperlink" Target="http://www.sec.gov/Archives/edgar/data/1894954/000190359625000006/ex4_2.htm" TargetMode="External"/><Relationship Id="rId82" Type="http://schemas.openxmlformats.org/officeDocument/2006/relationships/hyperlink" Target="http://www.sec.gov/Archives/edgar/data/1894954/000190359625000532/ex10_6.htm" TargetMode="External"/><Relationship Id="rId83" Type="http://schemas.openxmlformats.org/officeDocument/2006/relationships/hyperlink" Target="http://www.sec.gov/Archives/edgar/data/1894954/000190359622000125/f2sexpion121721s1ex10_2.htm" TargetMode="External"/><Relationship Id="rId84" Type="http://schemas.openxmlformats.org/officeDocument/2006/relationships/hyperlink" Target="http://www.sec.gov/Archives/edgar/data/1894954/000190359624000170/ex10_3.htm" TargetMode="External"/><Relationship Id="rId85" Type="http://schemas.openxmlformats.org/officeDocument/2006/relationships/hyperlink" Target="http://www.sec.gov/Archives/edgar/data/1894954/000190359622000125/f2sexpion121721s1ex10_3.htm" TargetMode="External"/><Relationship Id="rId86" Type="http://schemas.openxmlformats.org/officeDocument/2006/relationships/hyperlink" Target="http://www.sec.gov/Archives/edgar/data/1894954/000190359622000125/f2sexpion121721s1ex10_8.htm" TargetMode="External"/><Relationship Id="rId87" Type="http://schemas.openxmlformats.org/officeDocument/2006/relationships/hyperlink" Target="http://www.sec.gov/Archives/edgar/data/1894954/000190359624000479/ex1_1.htm" TargetMode="External"/><Relationship Id="rId88" Type="http://schemas.openxmlformats.org/officeDocument/2006/relationships/hyperlink" Target="http://www.sec.gov/Archives/edgar/data/1894954/000190359625000583/ex10_1.htm" TargetMode="External"/><Relationship Id="rId89" Type="http://schemas.openxmlformats.org/officeDocument/2006/relationships/hyperlink" Target="http://www.sec.gov/Archives/edgar/data/1894954/000190359625000264/ex10_1.htm" TargetMode="External"/><Relationship Id="rId90" Type="http://schemas.openxmlformats.org/officeDocument/2006/relationships/hyperlink" Target="http://www.sec.gov/Archives/edgar/data/1894954/000190359625000532/ex10_1.htm" TargetMode="External"/><Relationship Id="rId91" Type="http://schemas.openxmlformats.org/officeDocument/2006/relationships/hyperlink" Target="http://www.sec.gov/Archives/edgar/data/1894954/000190359625000006/ex10_2.htm" TargetMode="External"/><Relationship Id="rId92" Type="http://schemas.openxmlformats.org/officeDocument/2006/relationships/hyperlink" Target="http://www.sec.gov/Archives/edgar/data/1894954/000190359625000486/ex10_2.htm" TargetMode="External"/><Relationship Id="rId93" Type="http://schemas.openxmlformats.org/officeDocument/2006/relationships/hyperlink" Target="http://www.sec.gov/Archives/edgar/data/1894954/000190359625000486/ex10_3.htm" TargetMode="External"/><Relationship Id="rId94" Type="http://schemas.openxmlformats.org/officeDocument/2006/relationships/hyperlink" Target="http://www.sec.gov/Archives/edgar/data/1894954/000190359625000486/ex10_4.htm" TargetMode="External"/><Relationship Id="rId95" Type="http://schemas.openxmlformats.org/officeDocument/2006/relationships/hyperlink" Target="http://www.sec.gov/Archives/edgar/data/1894954/000190359624000170/xpon_10k.htm" TargetMode="External"/><Relationship Id="rId96" Type="http://schemas.openxmlformats.org/officeDocument/2006/relationships/hyperlink" Target="http://www.sec.gov/Archives/edgar/data/1894954/000190359624000170/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2026-03-17T07:51:54Z</dcterms:created>
  <dcterms:modified xsi:type="dcterms:W3CDTF">2026-03-17T07:51:54Z</dcterms:modified>
</cp:coreProperties>
</file>