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Expion360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001-41347</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8"/>
              </w:rPr>
              <w:t>81-2701049</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70"/>
        </w:trPr>
        <w:tc>
          <w:tcPr>
            <w:tcW w:w="30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284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81"/>
        </w:trPr>
        <w:tc>
          <w:tcPr>
            <w:tcW w:w="3080" w:type="dxa"/>
            <w:vAlign w:val="bottom"/>
            <w:tcBorders>
              <w:bottom w:val="single" w:sz="8" w:color="808080"/>
            </w:tcBorders>
          </w:tcPr>
          <w:p>
            <w:pPr>
              <w:spacing w:after="0"/>
              <w:rPr>
                <w:sz w:val="7"/>
                <w:szCs w:val="7"/>
                <w:color w:val="auto"/>
              </w:rPr>
            </w:pPr>
          </w:p>
        </w:tc>
        <w:tc>
          <w:tcPr>
            <w:tcW w:w="5320" w:type="dxa"/>
            <w:vAlign w:val="bottom"/>
            <w:tcBorders>
              <w:bottom w:val="single" w:sz="8" w:color="808080"/>
            </w:tcBorders>
          </w:tcPr>
          <w:p>
            <w:pPr>
              <w:spacing w:after="0"/>
              <w:rPr>
                <w:sz w:val="7"/>
                <w:szCs w:val="7"/>
                <w:color w:val="auto"/>
              </w:rPr>
            </w:pPr>
          </w:p>
        </w:tc>
        <w:tc>
          <w:tcPr>
            <w:tcW w:w="2840" w:type="dxa"/>
            <w:vAlign w:val="bottom"/>
            <w:tcBorders>
              <w:bottom w:val="single" w:sz="8" w:color="808080"/>
            </w:tcBorders>
          </w:tcPr>
          <w:p>
            <w:pPr>
              <w:spacing w:after="0"/>
              <w:rPr>
                <w:sz w:val="7"/>
                <w:szCs w:val="7"/>
                <w:color w:val="auto"/>
              </w:rPr>
            </w:pPr>
          </w:p>
        </w:tc>
      </w:tr>
      <w:tr>
        <w:trPr>
          <w:trHeight w:val="50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 SW Deerhound Avenue</w:t>
            </w:r>
          </w:p>
        </w:tc>
        <w:tc>
          <w:tcPr>
            <w:tcW w:w="2840" w:type="dxa"/>
            <w:vAlign w:val="bottom"/>
          </w:tcPr>
          <w:p>
            <w:pPr>
              <w:spacing w:after="0"/>
              <w:rPr>
                <w:sz w:val="24"/>
                <w:szCs w:val="24"/>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Redmond, OR 97756</w:t>
            </w:r>
          </w:p>
        </w:tc>
        <w:tc>
          <w:tcPr>
            <w:tcW w:w="2840" w:type="dxa"/>
            <w:vAlign w:val="bottom"/>
          </w:tcPr>
          <w:p>
            <w:pPr>
              <w:spacing w:after="0"/>
              <w:rPr>
                <w:sz w:val="23"/>
                <w:szCs w:val="23"/>
                <w:color w:val="auto"/>
              </w:rPr>
            </w:pPr>
          </w:p>
        </w:tc>
      </w:tr>
      <w:tr>
        <w:trPr>
          <w:trHeight w:val="270"/>
        </w:trPr>
        <w:tc>
          <w:tcPr>
            <w:tcW w:w="3080" w:type="dxa"/>
            <w:vAlign w:val="bottom"/>
          </w:tcPr>
          <w:p>
            <w:pPr>
              <w:spacing w:after="0"/>
              <w:rPr>
                <w:sz w:val="23"/>
                <w:szCs w:val="23"/>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and zip code)</w:t>
            </w:r>
          </w:p>
        </w:tc>
        <w:tc>
          <w:tcPr>
            <w:tcW w:w="2840" w:type="dxa"/>
            <w:vAlign w:val="bottom"/>
          </w:tcPr>
          <w:p>
            <w:pPr>
              <w:spacing w:after="0"/>
              <w:rPr>
                <w:sz w:val="23"/>
                <w:szCs w:val="23"/>
                <w:color w:val="auto"/>
              </w:rPr>
            </w:pPr>
          </w:p>
        </w:tc>
      </w:tr>
      <w:tr>
        <w:trPr>
          <w:trHeight w:val="437"/>
        </w:trPr>
        <w:tc>
          <w:tcPr>
            <w:tcW w:w="3080" w:type="dxa"/>
            <w:vAlign w:val="bottom"/>
          </w:tcPr>
          <w:p>
            <w:pPr>
              <w:spacing w:after="0"/>
              <w:rPr>
                <w:sz w:val="24"/>
                <w:szCs w:val="24"/>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(541) 797-6714</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284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40" w:type="dxa"/>
            <w:vAlign w:val="bottom"/>
          </w:tcPr>
          <w:p>
            <w:pPr>
              <w:spacing w:after="0"/>
              <w:rPr>
                <w:sz w:val="24"/>
                <w:szCs w:val="24"/>
                <w:color w:val="auto"/>
              </w:rPr>
            </w:pPr>
          </w:p>
        </w:tc>
      </w:tr>
      <w:tr>
        <w:trPr>
          <w:trHeight w:val="238"/>
        </w:trPr>
        <w:tc>
          <w:tcPr>
            <w:tcW w:w="3080" w:type="dxa"/>
            <w:vAlign w:val="bottom"/>
          </w:tcPr>
          <w:p>
            <w:pPr>
              <w:spacing w:after="0"/>
              <w:rPr>
                <w:sz w:val="20"/>
                <w:szCs w:val="20"/>
                <w:color w:val="auto"/>
              </w:rPr>
            </w:pPr>
          </w:p>
        </w:tc>
        <w:tc>
          <w:tcPr>
            <w:tcW w:w="5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480" w:firstLine="8"/>
        <w:spacing w:after="0" w:line="498" w:lineRule="auto"/>
        <w:tabs>
          <w:tab w:leader="none" w:pos="10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XPON</w:t>
            </w:r>
          </w:p>
        </w:tc>
        <w:tc>
          <w:tcPr>
            <w:tcW w:w="1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bl>
    <w:p>
      <w:pPr>
        <w:spacing w:after="0" w:line="25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 240.12b-2 of this chapter).</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[X]</w:t>
      </w:r>
    </w:p>
    <w:p>
      <w:pPr>
        <w:spacing w:after="0" w:line="90"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29, 2026, Expion360 Inc. (the “Company”) received a staff determination (the “Staff Determination”) from the Nasdaq Listing Qualifications department (the “Staff”) of The Nasdaq Stock Market (“Nasdaq”) stating that the bid price of the Company’s common stock, par value $0.001 per share (the “Common Stock”), had closed below the $1.00 minimum required by Nasdaq Listing Rule 5550(a)(2) for the prior 30 consecutive business days (the “Minimum Bid Price Requirement”) and the Staff had determined to delist the Company’s securities from The Nasdaq Capital Market subject to a compliance period (the “Staff Determination”).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Nasdaq has provided the Company with an 180 calendar day compliance period, or until July 28, 2026, in which to regain compliance with Nasdaq continued listing requirement. In the event that the Company does not regain compliance in the compliance period, the Company may be eligible for an additional 180 calendar day compliance period, provided the Company meets the continued listing requirement regarding the market value of its publicly held shares of Common Stock and all other Nasdaq initial listing standards, with the exception of the bid price requirement, and is able to provide written notice of its intention to cure the deficiency during the second compliance period, including by effecting a reverse stock split if necessary. However, if it appears that the Company will not be able to cure the deficiency, or if the Company is otherwise not eligible, Nasdaq will provide notice that the Company’s securities will be subject to delisting.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options to regain compliance and intends to timely regain compliance with Nasdaq’s continued listing requirement. Although the Company will use all reasonable efforts to achieve compliance with Rule 5550(a)(2), there can be no assurance that the Company will be able to regain compliance with that rule or will otherwise be in compliance with other Nasdaq continued listing requirement.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(this “Current Report”) contains certain forward-looking statements within the meaning of Section 27A of the Securities Act of 1933, as amended, and Section 21E of the Securities Exchange Act of 1934, as amended, which statements are subject to considerable risks and uncertainties. The Company intends such forward-looking statements to be covered by the safe harbor provisions contained in the Private Securities Litigation Reform Act of 1995. All statements other than statements of historical facts included in this press release, including statements about the Company’s beliefs and expectations, are “forward-looking statements” and should be evaluated as such. Forward-looking statements may be identified by words such as “anticipates,” “believes,” “estimates,” “expects,” “intends,” “may,” “plans,” “projects,” “seeks,” “should,” “suggest,” “will,” and similar expressions. Forward-looking statements in this press release include, without limitation, statements regarding the Company’s ability to regain or maintain compliance with the Minimum Bid Price Requirement in a timely manner or at all, and the Company’s ability to maintain compliance with Nasdaq’s other continued listing standards. The Company has based these forward-looking statements on its current expectations and projections about future events. Forward-looking statements are subject to and involve risks, uncertainties, and assumptions that may cause the Company’s actual results, performance or achievements to be materially different from any future results, performance or achievements predicted, assumed or implied by such forward-looking statements, including, without limitation, risks, uncertainties and assumptions related to the trading price of the Common Stock, as well as the risks disclosed under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the Company’s most recently Annual Report on Form 10-K filed with the Securities and Exchange Commission, as updated by the Company’s subsequently filed Quarterly Reports on Form 10-Q. This Current Report speaks as of the date indicated above. The Company undertakes no obligation to update any forward-looking statements, whether as a result of new information, future events, or otherwise, except as required by law. The Company expressly disclaims any obligation to update or revise any forward-looking statements found herein to reflect any future changes in the Company’s expectations of results or any future change in events,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EXPION360 INC.</w:t>
            </w:r>
          </w:p>
        </w:tc>
        <w:tc>
          <w:tcPr>
            <w:tcW w:w="128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9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30, 2026</w:t>
            </w: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Shawna Bowin</w:t>
            </w:r>
          </w:p>
        </w:tc>
      </w:tr>
      <w:tr>
        <w:trPr>
          <w:trHeight w:val="291"/>
        </w:trPr>
        <w:tc>
          <w:tcPr>
            <w:tcW w:w="328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Shawna Bowin</w:t>
            </w:r>
          </w:p>
        </w:tc>
        <w:tc>
          <w:tcPr>
            <w:tcW w:w="3660" w:type="dxa"/>
            <w:vAlign w:val="bottom"/>
          </w:tcPr>
          <w:p>
            <w:pPr>
              <w:spacing w:after="0"/>
              <w:rPr>
                <w:sz w:val="24"/>
                <w:szCs w:val="24"/>
                <w:color w:val="auto"/>
              </w:rPr>
            </w:pPr>
          </w:p>
        </w:tc>
      </w:tr>
      <w:tr>
        <w:trPr>
          <w:trHeight w:val="270"/>
        </w:trPr>
        <w:tc>
          <w:tcPr>
            <w:tcW w:w="3280" w:type="dxa"/>
            <w:vAlign w:val="bottom"/>
          </w:tcPr>
          <w:p>
            <w:pPr>
              <w:spacing w:after="0"/>
              <w:rPr>
                <w:sz w:val="23"/>
                <w:szCs w:val="23"/>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911"/>
        </w:trPr>
        <w:tc>
          <w:tcPr>
            <w:tcW w:w="3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2026-01-30T16:52:13Z</dcterms:created>
  <dcterms:modified xsi:type="dcterms:W3CDTF">2026-01-30T16:52:13Z</dcterms:modified>
</cp:coreProperties>
</file>