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Sellers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EXPION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2025 SW DEERHOUND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97756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Expion Energy, Inc.</w:t>
              </w:r>
            </w:hyperlink>
            <w:r>
              <w:rPr/>
              <w:t xml:space="preserve"> [ </w:t>
            </w:r>
            <w:r>
              <w:rPr>
                <w:rFonts w:ascii="Times;serif" w:hAnsi="Times;serif"/>
                <w:color w:val="0000FF"/>
                <w:sz w:val="24"/>
                <w:shd w:fill="FFFFFF" w:val="clear"/>
              </w:rPr>
              <w:t>XPON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("RSUs") made to the Reporting Person. Each RSU represents a contingent right to receive one share of the Issuer's common stock, par value $0.001 per share. Twenty-five percent of the RSUs will vest on the first anniversary of the grant date, and the remainder will vest in 12 equal quarterly installments thereafter, in each case subject to the Reporting Person's continued service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Sellers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2858" TargetMode="External"/><Relationship Id="rId5" Type="http://schemas.openxmlformats.org/officeDocument/2006/relationships/hyperlink" Target="http://www.sec.gov/cgi-bin/browse-edgar?action=getcompany&amp;CIK=00018949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3453</Characters>
  <CharactersWithSpaces>4024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