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4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6" w:lineRule="exact"/>
        <w:rPr>
          <w:sz w:val="24"/>
          <w:szCs w:val="24"/>
          <w:color w:val="auto"/>
        </w:rPr>
      </w:pPr>
    </w:p>
    <w:p>
      <w:pPr>
        <w:spacing w:after="0" w:line="207" w:lineRule="exact"/>
        <w:tabs>
          <w:tab w:leader="none" w:pos="2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 240.14a-12</w:t>
      </w:r>
    </w:p>
    <w:p>
      <w:pPr>
        <w:spacing w:after="0" w:line="15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6"/>
          <w:szCs w:val="36"/>
          <w:b w:val="1"/>
          <w:bCs w:val="1"/>
          <w:color w:val="auto"/>
        </w:rPr>
        <w:t>EXPION360 INC.</w:t>
      </w:r>
    </w:p>
    <w:p>
      <w:pPr>
        <w:spacing w:after="0" w:line="5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5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102870</wp:posOffset>
            </wp:positionV>
            <wp:extent cx="221996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9960" cy="2057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Expion360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2025 SW Deerhound Avenue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Redmond, Oregon 97756</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summary contains highlights about the upcoming 2025 Annual Meeting of Stockholders (the “Annual Meeting”) of Expion360 Inc. (the “Company,” “we,” “us” or “our”). This summary does not contain all of the information that you should consider in advance of the Annual Meeting and we encourage you to read the entire Proxy Statement before voting.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ectPr>
          <w:pgSz w:w="11900" w:h="16838" w:orient="portrait"/>
          <w:cols w:equalWidth="0" w:num="1">
            <w:col w:w="9019"/>
          </w:cols>
          <w:pgMar w:left="1440" w:top="114" w:right="1440" w:bottom="1440" w:gutter="0" w:footer="0" w:header="0"/>
        </w:sectPr>
      </w:pPr>
    </w:p>
    <w:p>
      <w:pPr>
        <w:spacing w:after="0" w:line="25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Date and Time: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Thursday, July 31, 2025 at 9:00 a.m. Pacific Time</w:t>
      </w:r>
    </w:p>
    <w:p>
      <w:pPr>
        <w:spacing w:after="0" w:line="200" w:lineRule="exact"/>
        <w:rPr>
          <w:sz w:val="20"/>
          <w:szCs w:val="20"/>
          <w:color w:val="auto"/>
        </w:rPr>
      </w:pPr>
    </w:p>
    <w:p>
      <w:pPr>
        <w:sectPr>
          <w:pgSz w:w="11900" w:h="16838" w:orient="portrait"/>
          <w:cols w:equalWidth="0" w:num="2">
            <w:col w:w="1480" w:space="320"/>
            <w:col w:w="7219"/>
          </w:cols>
          <w:pgMar w:left="1440" w:top="114" w:right="1440" w:bottom="1440" w:gutter="0" w:footer="0" w:header="0"/>
          <w:type w:val="continuous"/>
        </w:sectPr>
      </w:pP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Comfort Suites Redmond Airport located at 2243 SW Yew Avenue, Redmond, Oregon 97756</w:t>
      </w:r>
    </w:p>
    <w:p>
      <w:pPr>
        <w:spacing w:after="0" w:line="207" w:lineRule="exact"/>
        <w:rPr>
          <w:sz w:val="20"/>
          <w:szCs w:val="20"/>
          <w:color w:val="auto"/>
        </w:rPr>
      </w:pPr>
    </w:p>
    <w:p>
      <w:pPr>
        <w:sectPr>
          <w:pgSz w:w="11900" w:h="16838" w:orient="portrait"/>
          <w:cols w:equalWidth="0" w:num="2">
            <w:col w:w="1080" w:space="720"/>
            <w:col w:w="7219"/>
          </w:cols>
          <w:pgMar w:left="1440" w:top="114" w:right="1440" w:bottom="1440" w:gutter="0" w:footer="0" w:header="0"/>
          <w:type w:val="continuous"/>
        </w:sectPr>
      </w:pP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2025</w:t>
      </w:r>
    </w:p>
    <w:p>
      <w:pPr>
        <w:spacing w:after="0" w:line="200" w:lineRule="exact"/>
        <w:rPr>
          <w:sz w:val="20"/>
          <w:szCs w:val="20"/>
          <w:color w:val="auto"/>
        </w:rPr>
      </w:pPr>
    </w:p>
    <w:p>
      <w:pPr>
        <w:sectPr>
          <w:pgSz w:w="11900" w:h="16838" w:orient="portrait"/>
          <w:cols w:equalWidth="0" w:num="2">
            <w:col w:w="1320" w:space="480"/>
            <w:col w:w="7219"/>
          </w:cols>
          <w:pgMar w:left="1440" w:top="114" w:right="1440" w:bottom="1440" w:gutter="0" w:footer="0" w:header="0"/>
          <w:type w:val="continuous"/>
        </w:sectPr>
      </w:pP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Mailing Date: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mail the proxy materials to our stockholders on or about June 17, 2025</w:t>
      </w:r>
    </w:p>
    <w:p>
      <w:pPr>
        <w:spacing w:after="0" w:line="200" w:lineRule="exact"/>
        <w:rPr>
          <w:sz w:val="20"/>
          <w:szCs w:val="20"/>
          <w:color w:val="auto"/>
        </w:rPr>
      </w:pPr>
    </w:p>
    <w:p>
      <w:pPr>
        <w:sectPr>
          <w:pgSz w:w="11900" w:h="16838" w:orient="portrait"/>
          <w:cols w:equalWidth="0" w:num="2">
            <w:col w:w="1360" w:space="440"/>
            <w:col w:w="7219"/>
          </w:cols>
          <w:pgMar w:left="1440" w:top="114" w:right="1440" w:bottom="1440" w:gutter="0" w:footer="0" w:header="0"/>
          <w:type w:val="continuous"/>
        </w:sectPr>
      </w:pP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Matters and Board Recommendations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22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Recommendation of</w:t>
            </w:r>
          </w:p>
        </w:tc>
        <w:tc>
          <w:tcPr>
            <w:tcW w:w="0" w:type="dxa"/>
            <w:vAlign w:val="bottom"/>
          </w:tcPr>
          <w:p>
            <w:pPr>
              <w:spacing w:after="0"/>
              <w:rPr>
                <w:sz w:val="1"/>
                <w:szCs w:val="1"/>
                <w:color w:val="auto"/>
              </w:rPr>
            </w:pPr>
          </w:p>
        </w:tc>
      </w:tr>
      <w:tr>
        <w:trPr>
          <w:trHeight w:val="190"/>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20" w:type="dxa"/>
            <w:vAlign w:val="bottom"/>
          </w:tcPr>
          <w:p>
            <w:pPr>
              <w:spacing w:after="0"/>
              <w:rPr>
                <w:sz w:val="16"/>
                <w:szCs w:val="16"/>
                <w:color w:val="auto"/>
              </w:rPr>
            </w:pPr>
          </w:p>
        </w:tc>
        <w:tc>
          <w:tcPr>
            <w:tcW w:w="6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Our Board</w:t>
            </w:r>
          </w:p>
        </w:tc>
        <w:tc>
          <w:tcPr>
            <w:tcW w:w="0" w:type="dxa"/>
            <w:vAlign w:val="bottom"/>
          </w:tcPr>
          <w:p>
            <w:pPr>
              <w:spacing w:after="0"/>
              <w:rPr>
                <w:sz w:val="1"/>
                <w:szCs w:val="1"/>
                <w:color w:val="auto"/>
              </w:rPr>
            </w:pPr>
          </w:p>
        </w:tc>
      </w:tr>
      <w:tr>
        <w:trPr>
          <w:trHeight w:val="23"/>
        </w:trPr>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 election of five directors to serve on our board of directors for a one-year term</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w w:val="99"/>
              </w:rPr>
              <w:t>of office expiring at the annual meeting of stockholders to be held in 2026 and until</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 Director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their successors have been elected and qualified, or until their earlier death,</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Nominee</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resignation, or removal;</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 ratification of the appointment of M&amp;K CPAS, PLLC as our independent</w:t>
            </w: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registered public accounting firm for the year ending December 31, 2025;</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 approval of an increase of shares of our common stock, par value $0.001 per</w:t>
            </w: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share (our “Common Stock”), authorized under our 2021 Incentive Award Plan;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 approval of an increase of shares of Common Stock authorized under our 2021</w:t>
            </w: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Only holders of record of our Common Stock at the close of business on June 4, 2025 (the “Record Date”) are entitled to notice of, and to vote at, the Annual Meeting. On the Record Date, there were issued and outstanding approximately 3,374,468 shares of our Common Stock.</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Each share of our Common Stock entitles the holder thereof to one vote. A Notice of Internet Availability of Proxy Materials is being mailed to stockholders on or about June 17,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THURSDAY, JULY 31, 2025</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of Expion360 Inc.</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(the “Annual Meeting”) of Expion360 Inc., a Nevada corporation (the “Company,” “we,” “us,” or “ours”), will be held on Thursday, July 31, 2025, at 9:00 a.m. Pacific Time, at the Comfort Suites Redmond Airport located at 2243 SW Yew Avenue, Redmond, Oregon 97756, for the following purposes:</w:t>
      </w:r>
    </w:p>
    <w:p>
      <w:pPr>
        <w:spacing w:after="0" w:line="72" w:lineRule="exact"/>
        <w:rPr>
          <w:sz w:val="20"/>
          <w:szCs w:val="20"/>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to serve on our board of directors (our “Board”) for a one-year term of office expiring at the annual meeting of stockholders to be held in 2026 and until their successors have been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M&amp;K CPAS, PLLC as our independent registered public accounting firm for the year ending December 31, 2025;</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of shares of common stock, par value $0.001 per share (our “Common Stock”), authorized under our 2021 Incentive Award Plan;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of shares of Common Stock authorized under our 2021 Employee Stock Purchase Plan.</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may also transact any other business that is properly presented at the Annual Meeting or any continuation, adjournments or postponements thereof.</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Annual Meeting of Stockholders.</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has fixed the close of business on June 4, 2025 as the record date for the determination of stockholders entitled to notice of, and to vote at, the Annual Meeting and any continuation, postponement or adjournment thereof. Whether or not you plan on attending the Annual Meeting, we encourage you to submit your proxy or voting instructions as soon as possible to ensure your representation at the Annual Meeting. Please refer to the section of the Proxy Statement titled “</w:t>
      </w:r>
      <w:r>
        <w:rPr>
          <w:rFonts w:ascii="Times New Roman" w:cs="Times New Roman" w:eastAsia="Times New Roman" w:hAnsi="Times New Roman"/>
          <w:sz w:val="18"/>
          <w:szCs w:val="18"/>
          <w:i w:val="1"/>
          <w:iCs w:val="1"/>
          <w:color w:val="auto"/>
        </w:rPr>
        <w:t>Questions and Answers About the Annual Meeting and Voting—How can I vote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 Paul Shoun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35560</wp:posOffset>
            </wp:positionV>
            <wp:extent cx="2468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Paul Shoun</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Co-Founder, President, and Chairman of our Board</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Approximate Date of Mailing of Notice of Internet Availability of Proxy Materials: June 17, 2025</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federal securities laws. Forward-looking statements may relate to our future financial performance, business operations, and executive compensation decisions, or other future events.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We have based these forward-looking statements largely on our current expectations and projections about future events and financial trends that we believe may affect our business, results of operations and financial condition.</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outcomes of the events described in these forward-looking statements are subject to risks, uncertainties and other factors described in Item 1A, “Risk Factors,” and elsewhere, in our Annual Report on Form 10-K for the year ended December 31, 2024, as amended, as well as the other reports we file with the Securities and Exchange Commission. We cannot assure you that the events and circumstances reflected in the forward-looking statements will be achieved or occur, and actual results could differ materially from those expressed or implied in the forward-looking statements. The forward-looking statements made in this Proxy Statement relate only to events as of the date of this Proxy Statement. We undertake no obligation to update any forward-looking statement to reflect events or circumstances after the date on which the statement is made.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76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8"/>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20" w:type="dxa"/>
            <w:vAlign w:val="bottom"/>
            <w:gridSpan w:val="8"/>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77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 SUMMARY</w:t>
            </w:r>
          </w:p>
        </w:tc>
        <w:tc>
          <w:tcPr>
            <w:tcW w:w="66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24"/>
                <w:szCs w:val="24"/>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NOTICE OF 2025 ANNUAL MEETING OF STOCKHOLDERS</w:t>
            </w:r>
          </w:p>
        </w:tc>
        <w:tc>
          <w:tcPr>
            <w:tcW w:w="6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PROXY STATEMENT</w:t>
            </w:r>
          </w:p>
        </w:tc>
        <w:tc>
          <w:tcPr>
            <w:tcW w:w="660" w:type="dxa"/>
            <w:vAlign w:val="bottom"/>
            <w:tcBorders>
              <w:right w:val="single" w:sz="8" w:color="CCEEFF"/>
            </w:tcBorders>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QUESTIONS AND ANSWERS ABOUT THE ANNUAL MEETING AND VOTING</w:t>
            </w:r>
          </w:p>
        </w:tc>
        <w:tc>
          <w:tcPr>
            <w:tcW w:w="6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4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7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 DISCUSSION</w:t>
            </w:r>
          </w:p>
        </w:tc>
        <w:tc>
          <w:tcPr>
            <w:tcW w:w="1980" w:type="dxa"/>
            <w:vAlign w:val="bottom"/>
            <w:gridSpan w:val="3"/>
          </w:tcPr>
          <w:p>
            <w:pPr>
              <w:spacing w:after="0"/>
              <w:rPr>
                <w:sz w:val="16"/>
                <w:szCs w:val="16"/>
                <w:color w:val="auto"/>
              </w:rPr>
            </w:pPr>
          </w:p>
        </w:tc>
        <w:tc>
          <w:tcPr>
            <w:tcW w:w="6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1 – ELECTION OF DIRECTORS</w:t>
            </w:r>
          </w:p>
        </w:tc>
        <w:tc>
          <w:tcPr>
            <w:tcW w:w="660" w:type="dxa"/>
            <w:vAlign w:val="bottom"/>
            <w:tcBorders>
              <w:right w:val="single" w:sz="8" w:color="CCEEFF"/>
            </w:tcBorders>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PROPOSAL 2 – RATIFICATION OF OUR INDEPENDENT REGISTERED PUBLIC ACCOUNTING</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260" w:type="dxa"/>
            <w:vAlign w:val="bottom"/>
          </w:tcPr>
          <w:p>
            <w:pPr>
              <w:spacing w:after="0"/>
              <w:rPr>
                <w:sz w:val="17"/>
                <w:szCs w:val="17"/>
                <w:color w:val="auto"/>
              </w:rPr>
            </w:pPr>
          </w:p>
        </w:tc>
        <w:tc>
          <w:tcPr>
            <w:tcW w:w="6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28</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REPORT</w:t>
            </w:r>
          </w:p>
        </w:tc>
        <w:tc>
          <w:tcPr>
            <w:tcW w:w="660" w:type="dxa"/>
            <w:vAlign w:val="bottom"/>
            <w:tcBorders>
              <w:right w:val="single" w:sz="8" w:color="CCEEFF"/>
            </w:tcBorders>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PROPOSAL 3 – AMENDMENT OF OUR 2021 INCENTIVE AWARD PLAN</w:t>
            </w:r>
          </w:p>
        </w:tc>
        <w:tc>
          <w:tcPr>
            <w:tcW w:w="6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2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4 – AMENDMENT OF 2021 EMPLOYEE STOCK PURCHASE PLAN</w:t>
            </w:r>
          </w:p>
        </w:tc>
        <w:tc>
          <w:tcPr>
            <w:tcW w:w="1540" w:type="dxa"/>
            <w:vAlign w:val="bottom"/>
            <w:gridSpan w:val="2"/>
            <w:shd w:val="clear" w:color="auto" w:fill="CCEEFF"/>
          </w:tcPr>
          <w:p>
            <w:pPr>
              <w:spacing w:after="0"/>
              <w:rPr>
                <w:sz w:val="16"/>
                <w:szCs w:val="16"/>
                <w:color w:val="auto"/>
              </w:rPr>
            </w:pPr>
          </w:p>
        </w:tc>
        <w:tc>
          <w:tcPr>
            <w:tcW w:w="660" w:type="dxa"/>
            <w:vAlign w:val="bottom"/>
            <w:tcBorders>
              <w:right w:val="single" w:sz="8" w:color="CCEEFF"/>
            </w:tcBorders>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2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ADDITIONAL INFORMATION</w:t>
            </w:r>
          </w:p>
        </w:tc>
        <w:tc>
          <w:tcPr>
            <w:tcW w:w="1540" w:type="dxa"/>
            <w:vAlign w:val="bottom"/>
            <w:gridSpan w:val="2"/>
          </w:tcPr>
          <w:p>
            <w:pPr>
              <w:spacing w:after="0"/>
              <w:rPr>
                <w:sz w:val="16"/>
                <w:szCs w:val="16"/>
                <w:color w:val="auto"/>
              </w:rPr>
            </w:pPr>
          </w:p>
        </w:tc>
        <w:tc>
          <w:tcPr>
            <w:tcW w:w="6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APPENDIX A</w:t>
            </w:r>
          </w:p>
        </w:tc>
        <w:tc>
          <w:tcPr>
            <w:tcW w:w="6520" w:type="dxa"/>
            <w:vAlign w:val="bottom"/>
            <w:tcBorders>
              <w:bottom w:val="single" w:sz="8" w:color="CCEEFF"/>
            </w:tcBorders>
            <w:gridSpan w:val="13"/>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0000EE"/>
              <w:right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APPENDIX B</w:t>
            </w:r>
          </w:p>
        </w:tc>
        <w:tc>
          <w:tcPr>
            <w:tcW w:w="360" w:type="dxa"/>
            <w:vAlign w:val="bottom"/>
          </w:tcPr>
          <w:p>
            <w:pPr>
              <w:spacing w:after="0"/>
              <w:rPr>
                <w:sz w:val="16"/>
                <w:szCs w:val="16"/>
                <w:color w:val="auto"/>
              </w:rPr>
            </w:pPr>
          </w:p>
        </w:tc>
        <w:tc>
          <w:tcPr>
            <w:tcW w:w="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w w:val="96"/>
              </w:rPr>
              <w:t>B-1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APPENDIX C</w:t>
            </w:r>
          </w:p>
        </w:tc>
        <w:tc>
          <w:tcPr>
            <w:tcW w:w="360" w:type="dxa"/>
            <w:vAlign w:val="bottom"/>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C-1</w:t>
            </w:r>
          </w:p>
        </w:tc>
        <w:tc>
          <w:tcPr>
            <w:tcW w:w="1300" w:type="dxa"/>
            <w:vAlign w:val="bottom"/>
          </w:tcPr>
          <w:p>
            <w:pPr>
              <w:spacing w:after="0"/>
              <w:rPr>
                <w:sz w:val="16"/>
                <w:szCs w:val="16"/>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4720" w:type="dxa"/>
            <w:vAlign w:val="bottom"/>
            <w:gridSpan w:val="12"/>
          </w:tcPr>
          <w:p>
            <w:pPr>
              <w:ind w:left="416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Thursday, July 31, 2025</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Proxy Statement is solicited on behalf of the board of directors (our “Board”) of Expion360 Inc., a Nevada corporation (the “Company,” “we,” “us,” or “ours”) for use at the Annual Meeting of Stockholders (the “Annual Meeting”), to be held on Thursday, July 31, 2025, at 9:00 a.m. Pacific Time, or at any continuation, postponement, or adjournment thereof.</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Annual Meeting is being held for the purposes discussed in this Proxy Statement in the accompanying Notice of Annual Meeting of Stockholders (the “Notice”).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following questions and answers are intended to briefly address potential questions that our stockholders may have regarding this Proxy Statement and the Annual Meeting. They are also intended to provide our stockholders with certain information that is required to be provided under the Securities and Exchange Commission (the “SEC”) rules. These questions and answers may not address all of the questions that are important to you as a stockholder. If you have additional questions about this Proxy Statement or the Annual Meeting, please refer to the question titled </w:t>
      </w:r>
      <w:r>
        <w:rPr>
          <w:rFonts w:ascii="Times New Roman" w:cs="Times New Roman" w:eastAsia="Times New Roman" w:hAnsi="Times New Roman"/>
          <w:sz w:val="18"/>
          <w:szCs w:val="18"/>
          <w:i w:val="1"/>
          <w:iCs w:val="1"/>
          <w:color w:val="auto"/>
        </w:rPr>
        <w:t xml:space="preserve">“Who should I contact with other questions?” </w:t>
      </w:r>
      <w:r>
        <w:rPr>
          <w:rFonts w:ascii="Times New Roman" w:cs="Times New Roman" w:eastAsia="Times New Roman" w:hAnsi="Times New Roman"/>
          <w:sz w:val="18"/>
          <w:szCs w:val="18"/>
          <w:color w:val="auto"/>
        </w:rPr>
        <w:t>below.</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will the Annual Meeting be held?</w:t>
      </w:r>
    </w:p>
    <w:p>
      <w:pPr>
        <w:spacing w:after="0" w:line="121" w:lineRule="exact"/>
        <w:rPr>
          <w:sz w:val="20"/>
          <w:szCs w:val="20"/>
          <w:color w:val="auto"/>
        </w:rPr>
      </w:pPr>
    </w:p>
    <w:p>
      <w:pPr>
        <w:jc w:val="both"/>
        <w:ind w:left="640" w:right="319" w:hanging="348"/>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will be held on Thursday, July 31, 2025, at 9:00 a.m. Pacific Time, or at any continuation, postponement, or adjournment thereof. The Annual Meeting will be held at the Comfort Suites Redmond Airport located at 2243 SW Yew Avenue, Redmond, Oregon 97756.</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proposals am I being asked to vote upon at the Annual Meeting?</w:t>
      </w:r>
    </w:p>
    <w:p>
      <w:pPr>
        <w:spacing w:after="0" w:line="121" w:lineRule="exact"/>
        <w:rPr>
          <w:sz w:val="20"/>
          <w:szCs w:val="20"/>
          <w:color w:val="auto"/>
        </w:rPr>
      </w:pPr>
    </w:p>
    <w:p>
      <w:pPr>
        <w:ind w:left="640" w:right="319" w:hanging="348"/>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proposals to be voted on at the Annual Meeting, and our Board’s recommendation with respect to each proposal, are as follows: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 of</w:t>
            </w:r>
          </w:p>
        </w:tc>
        <w:tc>
          <w:tcPr>
            <w:tcW w:w="0" w:type="dxa"/>
            <w:vAlign w:val="bottom"/>
          </w:tcPr>
          <w:p>
            <w:pPr>
              <w:spacing w:after="0"/>
              <w:rPr>
                <w:sz w:val="1"/>
                <w:szCs w:val="1"/>
                <w:color w:val="auto"/>
              </w:rPr>
            </w:pPr>
          </w:p>
        </w:tc>
      </w:tr>
      <w:tr>
        <w:trPr>
          <w:trHeight w:val="195"/>
        </w:trPr>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5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Our Board</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election of five directors to serve on our Board for a one-year term of</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office expiring at the annual meeting of stockholders to be held in 2026 and</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each Director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until their successors have been elected and qualified, or until their earlier</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Nominee</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death, resignation, or removal;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ratification of the appointment of M&amp;K CPAS, PLLC (“M&amp;K”) as our</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registered  public  accounting  firm  for  the  year  ending</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approval of an increase of shares of common stock, par value $0.001 per</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 (our “Common Stock”) authorized under our 2021 Incentive Award Plan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(our “2021 Plan”); and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approval of an increase of shares of Common Stock authorized under our</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2021 Employee Stock Purchase Plan (our “2021 ESPP”).</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these proxy materials?</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is solicited on behalf of our Board for use at the Annual Meeting, or at any continuation, postponement or adjournment thereof, for the purposes discussed in this Proxy Statement and any other business properly brought before the Annual Meeting. Proxies are solicited to give all stockholders of record an opportunity to vote on matters properly presented at the Annual Meeting.</w:t>
      </w:r>
    </w:p>
    <w:p>
      <w:pPr>
        <w:spacing w:after="0" w:line="69" w:lineRule="exact"/>
        <w:rPr>
          <w:rFonts w:ascii="Times New Roman" w:cs="Times New Roman" w:eastAsia="Times New Roman" w:hAnsi="Times New Roman"/>
          <w:sz w:val="18"/>
          <w:szCs w:val="18"/>
          <w:color w:val="auto"/>
        </w:rPr>
      </w:pPr>
    </w:p>
    <w:p>
      <w:pPr>
        <w:jc w:val="both"/>
        <w:ind w:left="660" w:right="31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proxy materials are available electronically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At this website, you will find a complete set of the proxy materials including the Proxy Statement, our Annual Report on Form 10-K for the year ended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319"/>
        <w:spacing w:after="0" w:line="266" w:lineRule="auto"/>
        <w:rPr>
          <w:sz w:val="20"/>
          <w:szCs w:val="20"/>
          <w:color w:val="auto"/>
        </w:rPr>
      </w:pPr>
      <w:r>
        <w:rPr>
          <w:rFonts w:ascii="Times New Roman" w:cs="Times New Roman" w:eastAsia="Times New Roman" w:hAnsi="Times New Roman"/>
          <w:sz w:val="18"/>
          <w:szCs w:val="18"/>
          <w:color w:val="auto"/>
        </w:rPr>
        <w:t>December 31, 2024, as amended (our “Annual Report”), and form proxy card. You are encouraged to access and review all of the information contained in the proxy materials before submitting a proxy or voting at the Annual Meeting.</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did I receive a notice in the mail regarding the Internet availability of proxy materials?</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of mailing printed copies to each of our stockholders, we have elected to provide access to the proxy materials over the Internet under the SEC’s “notice and access” rules. These rules allow us to make our stockholders aware of the Annual Meeting and the availability of the proxy materials by sending a Notice of Internet Availability of Proxy Materials, which provides instructions on how to access the full set of proxy materials through the Internet or make a request to have printed proxy materials delivered by mail. Such notice contains instructions on how to access the proxy materials, including this Proxy Statement and our Annual Report, each of which are available at www.proxyvote.com. Such notice also provides instructions on how to vote your shares.</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can vote at the Annual Meeting?</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stockholders at the close of business on June 4, 2025 (the “Record Date”) will be entitled to attend and to vote at the Annual Meeting. You are entitled to one vote on each proposal for each share of Common Stock you held on the Record Date. Your shares may be voted at the Annual Meeting only if you are present in person or your shares are represented by a valid proxy.</w:t>
      </w:r>
    </w:p>
    <w:p>
      <w:pPr>
        <w:spacing w:after="0" w:line="71" w:lineRule="exact"/>
        <w:rPr>
          <w:rFonts w:ascii="Times New Roman" w:cs="Times New Roman" w:eastAsia="Times New Roman" w:hAnsi="Times New Roman"/>
          <w:sz w:val="18"/>
          <w:szCs w:val="18"/>
          <w:color w:val="auto"/>
        </w:rPr>
      </w:pPr>
    </w:p>
    <w:p>
      <w:pPr>
        <w:jc w:val="both"/>
        <w:ind w:left="660" w:right="2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Record Date, there were 3,374,468 shares of our Common Stock outstanding and entitled to vote at the Annual Meeting. A list of stockholders entitled to vote at the Annual Meeting will be available for examination by any stockholder for any purpose germane to the Annual Meeting during ordinary business hours at our executive offices located at 2025 SW Deerhound Avenue, Redmond, Oregon 97756 for ten days prior to the Annual Meeting and also at the Annual Meeting.</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difference between a stockholder “of record” and a “street name” holder?</w:t>
      </w:r>
    </w:p>
    <w:p>
      <w:pPr>
        <w:spacing w:after="0" w:line="121" w:lineRule="exact"/>
        <w:rPr>
          <w:sz w:val="20"/>
          <w:szCs w:val="20"/>
          <w:color w:val="auto"/>
        </w:rPr>
      </w:pPr>
    </w:p>
    <w:p>
      <w:pPr>
        <w:ind w:left="640" w:right="319" w:hanging="348"/>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Record Date, your shares are registered directly in your name with our transfer agent, Pacific Stock Transfer Company, you are considered the stockholder of record with respect to those shares.</w:t>
      </w:r>
    </w:p>
    <w:p>
      <w:pPr>
        <w:spacing w:after="0" w:line="53" w:lineRule="exact"/>
        <w:rPr>
          <w:rFonts w:ascii="Times New Roman" w:cs="Times New Roman" w:eastAsia="Times New Roman" w:hAnsi="Times New Roman"/>
          <w:sz w:val="18"/>
          <w:szCs w:val="18"/>
          <w:color w:val="auto"/>
        </w:rPr>
      </w:pPr>
    </w:p>
    <w:p>
      <w:pPr>
        <w:jc w:val="both"/>
        <w:ind w:left="660" w:right="2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Record Date, your shares are held in an account at a bank, broker, dealer, or other nominee, then you are the “beneficial owner” of shares held in “street name” and this Proxy Statement is being made available to you by that nominee. Street name holders generally cannot submit a proxy or vote their shares directly and must instead instruct the bank, broker, dealer, or other nominee how to vote their shares. Please contact your nominee directly for additional information.</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quorum requirement for the Annual Meeting?</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holders of at least one-third of the voting power of the outstanding shares of our Common Stock, represented in person or by proxy (regardless of whether the proxy has authority to vote on all matters), constitutes a quorum, which is required to hold and conduct business at the Annual Meeting. Shares are counted as present at the Annual Meeting if:</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present in person at the Annual Meeting; or</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shares are represented by a properly authorized and submitted proxy (submitted by mail, by telephone, or over the Internet).</w:t>
      </w:r>
    </w:p>
    <w:p>
      <w:pPr>
        <w:spacing w:after="0" w:line="54"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If you are a stockholder “of record” and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bank, broker, dealer, or other nominee submits a proxy covering your shares. Your bank, broker, dealer, or other nominee is entitled to submit a proxy covering your shares as to certain routine matters such as ratification of our independent registered public accounting firm, even if you have not instructed bank, broker, dealer, or other nominee on how to vote on those matters. Please refer to the question titled “What if I do not specify how I want my shares voted?” below. In the absence of a quorum, the Annual Meeting may be adjourned to a day, time, and place as determined by the Chairman of the Annual Meeting.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vote my shares?</w:t>
      </w:r>
    </w:p>
    <w:p>
      <w:pPr>
        <w:spacing w:after="0" w:line="121" w:lineRule="exact"/>
        <w:rPr>
          <w:sz w:val="20"/>
          <w:szCs w:val="20"/>
          <w:color w:val="auto"/>
        </w:rPr>
      </w:pPr>
    </w:p>
    <w:p>
      <w:pPr>
        <w:ind w:left="640" w:hanging="34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using any of the following methods: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Mail - Stockholders “of record” may submit proxies by completing, signing and dating their proxy cards and mailing them in the accompanying pre-addressed envelopes. Stockholders who hold shares beneficially in “street name” may provide voting instructions by mail by completing, signing and dating the voting instruction forms provided by their bank, broker, dealer, or other nominee and mailing them in the accompanying pre-addressed envelopes.</w:t>
      </w:r>
    </w:p>
    <w:p>
      <w:pPr>
        <w:spacing w:after="0" w:line="75" w:lineRule="exact"/>
        <w:rPr>
          <w:rFonts w:ascii="MS PGothic" w:cs="MS PGothic" w:eastAsia="MS PGothic" w:hAnsi="MS PGothic"/>
          <w:sz w:val="18"/>
          <w:szCs w:val="18"/>
          <w:color w:val="auto"/>
        </w:rPr>
      </w:pPr>
    </w:p>
    <w:p>
      <w:pPr>
        <w:jc w:val="both"/>
        <w:ind w:left="1000" w:right="299" w:hanging="348"/>
        <w:spacing w:after="0" w:line="261" w:lineRule="auto"/>
        <w:tabs>
          <w:tab w:leader="none" w:pos="1000" w:val="left"/>
        </w:tabs>
        <w:numPr>
          <w:ilvl w:val="1"/>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Internet - Stockholders “of record” may submit proxies by following the Internet voting instructions on their proxy cards. Stockholders who hold shares beneficially in “street name” may provide voting instructions by accessing the website specified on the voting instruction forms provided by their bank, broker, dealer, or other nominee. Please check the voting instruction form for Internet voting availability.</w:t>
      </w:r>
    </w:p>
    <w:p>
      <w:pPr>
        <w:spacing w:after="0" w:line="71" w:lineRule="exact"/>
        <w:rPr>
          <w:rFonts w:ascii="MS PGothic" w:cs="MS PGothic" w:eastAsia="MS PGothic" w:hAnsi="MS PGothic"/>
          <w:sz w:val="18"/>
          <w:szCs w:val="18"/>
          <w:color w:val="auto"/>
        </w:rPr>
      </w:pPr>
    </w:p>
    <w:p>
      <w:pPr>
        <w:jc w:val="both"/>
        <w:ind w:left="1000" w:right="299" w:hanging="348"/>
        <w:spacing w:after="0" w:line="256" w:lineRule="auto"/>
        <w:tabs>
          <w:tab w:leader="none" w:pos="1000" w:val="left"/>
        </w:tabs>
        <w:numPr>
          <w:ilvl w:val="1"/>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Telephone - Stockholders “of record” who live in the United States or Canada may provide voting instructions by telephone by calling the number specified on their proxy cards. Stockholders who hold shares beneficially in “street name” and live in the United States or Canada may provide voting instructions by telephone by calling the number specified on the voting instructions provided by their bank, broker, dealer, or other nominee. Please check the voting instruction form for telephone voting availability.</w:t>
      </w:r>
    </w:p>
    <w:p>
      <w:pPr>
        <w:spacing w:after="0" w:line="79" w:lineRule="exact"/>
        <w:rPr>
          <w:rFonts w:ascii="MS PGothic" w:cs="MS PGothic" w:eastAsia="MS PGothic" w:hAnsi="MS PGothic"/>
          <w:sz w:val="18"/>
          <w:szCs w:val="18"/>
          <w:color w:val="auto"/>
        </w:rPr>
      </w:pPr>
    </w:p>
    <w:p>
      <w:pPr>
        <w:jc w:val="both"/>
        <w:ind w:left="1000" w:right="319" w:hanging="348"/>
        <w:spacing w:after="0" w:line="261" w:lineRule="auto"/>
        <w:tabs>
          <w:tab w:leader="none" w:pos="1000" w:val="left"/>
        </w:tabs>
        <w:numPr>
          <w:ilvl w:val="1"/>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Person at the Annual Meeting - Stockholders “of record” may vote their shares in person at the Annual Meeting. Stockholders who hold shares held beneficially in “street name” may vote their shares in person only if they obtain a legal proxy from their bank, broker, dealer, or other nominee that holds their shares giving them the right to vote the shares.</w:t>
      </w:r>
    </w:p>
    <w:p>
      <w:pPr>
        <w:spacing w:after="0" w:line="72"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Even if you plan to attend the Annual Meeting, we recommend that you also submit your proxy or voting instructions by mail, telephone or Internet so your vote will be counted if you later decide not to attend the Annual Meeting. Internet and telephone voting closes at 11:59 p.m. Eastern Time on Wednesday, July 30, 2025, the day before the Annual Meeting. Stockholders who submit a proxy by Internet or telephone do not need to return a proxy card or the form forwarded by their bank, broker, dealer, or other nominee by mail.</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can I do if I change my mind after I vote my shares?</w:t>
      </w:r>
    </w:p>
    <w:p>
      <w:pPr>
        <w:spacing w:after="0" w:line="121" w:lineRule="exact"/>
        <w:rPr>
          <w:sz w:val="20"/>
          <w:szCs w:val="20"/>
          <w:color w:val="auto"/>
        </w:rPr>
      </w:pPr>
    </w:p>
    <w:p>
      <w:pPr>
        <w:jc w:val="both"/>
        <w:ind w:left="640" w:right="299" w:hanging="339"/>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A:</w:t>
        <w:tab/>
        <w:t>As a stockholder “of record,” if you submit a proxy, you may revoke that proxy at any time before it is voted at the Annual Meeting. Stockholders “of record” may revoke a proxy prior to the Annual Meeting by</w:t>
      </w:r>
    </w:p>
    <w:p>
      <w:pPr>
        <w:jc w:val="both"/>
        <w:ind w:left="640" w:right="299" w:firstLine="3"/>
        <w:spacing w:after="0" w:line="252" w:lineRule="auto"/>
        <w:tabs>
          <w:tab w:leader="none" w:pos="88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the attention of the Chief Financial Officer at our executive offices located at 2025 SW Deerhound Avenue, Redmond, Oregon 97756, (ii) duly submitting a later-dated proxy over the Internet, by telephone, or by mail, or (iii) attending the Annual Meeting in person and voting in person. Attendance at the Annual Meeting will not, by itself, revoke a proxy. If your shares are held in “street name,” you may change your voting instructions by following the instructions of your bank, broker, dealer, or other nominee.</w:t>
      </w:r>
    </w:p>
    <w:p>
      <w:pPr>
        <w:spacing w:after="0" w:line="18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receive more than one proxy card or Notice?</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set of proxy materials, it means you hold shares that are registered in more than one account. To ensure that all of your shares are voted, sign and return each proxy card or, if you submit a proxy by telephone or the Internet, submit one proxy for each proxy card you receive.</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my shares be voted?</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 as of Record Date are entitled to one vote for each share of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if I do not specify how I want my shares voted?</w:t>
      </w:r>
    </w:p>
    <w:p>
      <w:pPr>
        <w:spacing w:after="0" w:line="121" w:lineRule="exact"/>
        <w:rPr>
          <w:sz w:val="20"/>
          <w:szCs w:val="20"/>
          <w:color w:val="auto"/>
        </w:rPr>
      </w:pPr>
    </w:p>
    <w:p>
      <w:pPr>
        <w:jc w:val="both"/>
        <w:ind w:left="640" w:right="319" w:hanging="348"/>
        <w:spacing w:after="0" w:line="258"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stockholder “of record,” if you submit a signed proxy card or submit your proxy by telephone or Internet and do not specify how you want your shares voted, the person named in the proxy will vote your shares “FOR” each director nominee in Proposal No. 1 and “FOR” Proposal Nos. 2, 3, and 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660" w:right="1300"/>
        <w:spacing w:after="0" w:line="246" w:lineRule="auto"/>
        <w:rPr>
          <w:sz w:val="20"/>
          <w:szCs w:val="20"/>
          <w:color w:val="auto"/>
        </w:rPr>
      </w:pPr>
      <w:r>
        <w:rPr>
          <w:rFonts w:ascii="Times New Roman" w:cs="Times New Roman" w:eastAsia="Times New Roman" w:hAnsi="Times New Roman"/>
          <w:sz w:val="18"/>
          <w:szCs w:val="18"/>
          <w:color w:val="auto"/>
        </w:rPr>
        <w:t>As a stockholder whose shares are held in “street name,” if you do not instruct your bank, broker, dealer, or other nominee how to vote your shares, your nominee may not be able to vote your shares in its discretion. A “broker non-vote” occurs when a bank, broker, dealer, or other nominee holding shares beneficially in “street name” has not received voting instructions from the beneficial owner and the nominee does not have discretionary authority to vote the shares. If you hold your shares in “street name” and do not provide voting instructions to your bank, broker, dealer, or other nominee, your shares will be considered to be broker non-votes and will not be voted on any proposal on which your bank, broker, dealer, or other nominee does not have discretionary authority to vote. Shares that constitute broker non-votes will be counted as present at the Annual Meeting for the purpose of determining a quorum but will not be considered entitled to vote on all the proposals in question. Banks, brokers, dealers, or other nominees generally have discretionary authority to vote on Proposal No. 2, which is considered a “routine” matter, but do not have discretionary authority to vote on Proposal Nos. 1, 3, and 4, which are considered “non-routine” matters.</w:t>
      </w:r>
    </w:p>
    <w:p>
      <w:pPr>
        <w:spacing w:after="0" w:line="87" w:lineRule="exact"/>
        <w:rPr>
          <w:sz w:val="20"/>
          <w:szCs w:val="20"/>
          <w:color w:val="auto"/>
        </w:rPr>
      </w:pPr>
    </w:p>
    <w:p>
      <w:pPr>
        <w:jc w:val="both"/>
        <w:ind w:left="1660" w:right="1320"/>
        <w:spacing w:after="0" w:line="255" w:lineRule="auto"/>
        <w:rPr>
          <w:sz w:val="20"/>
          <w:szCs w:val="20"/>
          <w:color w:val="auto"/>
        </w:rPr>
      </w:pPr>
      <w:r>
        <w:rPr>
          <w:rFonts w:ascii="Times New Roman" w:cs="Times New Roman" w:eastAsia="Times New Roman" w:hAnsi="Times New Roman"/>
          <w:sz w:val="18"/>
          <w:szCs w:val="18"/>
          <w:color w:val="auto"/>
        </w:rPr>
        <w:t>In their discretion, the proxy holders named in the enclosed proxy card are authorized to vote on any other matters that may properly come before the Annual Meeting and at any continuation, postponement or adjournment thereof. Our Board knows of no other items of business that will be presented for consideration at the Annual Meeting other than those described in this Proxy Statement.</w:t>
      </w:r>
    </w:p>
    <w:p>
      <w:pPr>
        <w:spacing w:after="0" w:line="169"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voting requirements to approve each of the proposals?</w:t>
      </w:r>
    </w:p>
    <w:p>
      <w:pPr>
        <w:spacing w:after="0" w:line="121" w:lineRule="exact"/>
        <w:rPr>
          <w:sz w:val="20"/>
          <w:szCs w:val="20"/>
          <w:color w:val="auto"/>
        </w:rPr>
      </w:pPr>
    </w:p>
    <w:p>
      <w:pPr>
        <w:jc w:val="both"/>
        <w:ind w:left="1640" w:right="1300" w:hanging="348"/>
        <w:spacing w:after="0" w:line="254" w:lineRule="auto"/>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votes will be tabulated as required by Nevada law, the state of our incorporation, by the inspector of election appointed for the Annual Meeting, who will separately tabulate votes for, against, withheld, and abstentions and broker non-votes. Shares held by persons attending the Annual Meeting but not voting, shares represented by proxies that reflect abstentions as to one or more proposals and broker non-votes will be counted as present for purposes of determining a quorum.</w:t>
      </w:r>
    </w:p>
    <w:p>
      <w:pPr>
        <w:spacing w:after="0" w:line="65" w:lineRule="exact"/>
        <w:rPr>
          <w:rFonts w:ascii="Times New Roman" w:cs="Times New Roman" w:eastAsia="Times New Roman" w:hAnsi="Times New Roman"/>
          <w:sz w:val="18"/>
          <w:szCs w:val="18"/>
          <w:color w:val="auto"/>
        </w:rPr>
      </w:pPr>
    </w:p>
    <w:p>
      <w:pPr>
        <w:ind w:left="1660" w:righ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requirements to approve each of the proposals to be voted upon at the Annual Meeting, as well as the effects of abstentions and broker non-votes on each of the proposals,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Requirement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Effect of Withheld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Effect of Broker Non-</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66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Votes or Abstentions</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36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Election</w:t>
            </w: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nominee</w:t>
            </w: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“WITHHOLD”</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6"/>
              </w:rPr>
              <w:t>vote</w:t>
            </w:r>
          </w:p>
        </w:tc>
        <w:tc>
          <w:tcPr>
            <w:tcW w:w="1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8"/>
              </w:rPr>
              <w:t>Broker non-votes will</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of Directors</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2"/>
              </w:rPr>
              <w:t>will</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be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elected</w:t>
            </w:r>
          </w:p>
        </w:tc>
        <w:tc>
          <w:tcPr>
            <w:tcW w:w="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by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2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 respect to a director</w:t>
            </w:r>
          </w:p>
        </w:tc>
        <w:tc>
          <w:tcPr>
            <w:tcW w:w="1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have no effect on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plurality of the votes cast</w:t>
            </w:r>
          </w:p>
        </w:tc>
        <w:tc>
          <w:tcPr>
            <w:tcW w:w="2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nominee will not count as</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outcome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vote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under</w:t>
            </w:r>
          </w:p>
        </w:tc>
        <w:tc>
          <w:tcPr>
            <w:tcW w:w="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Proposal</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vote cast for that or any</w:t>
            </w:r>
          </w:p>
        </w:tc>
        <w:tc>
          <w:tcPr>
            <w:tcW w:w="1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on this proposal.</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7"/>
              </w:rPr>
              <w:t>(assuming</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that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quorum</w:t>
            </w: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nominee, and</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thus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is present).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will have no effect on the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outcome of the vote on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 “plurality of the votes”</w:t>
            </w: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this proposal.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means</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five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nominees</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receiving</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highest</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number  of  votes  at  the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Annual</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7"/>
              </w:rPr>
              <w:t>elected.</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16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Requires that the number</w:t>
            </w:r>
          </w:p>
        </w:tc>
        <w:tc>
          <w:tcPr>
            <w:tcW w:w="2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 “ABSTAIN” vote will</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Because</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4"/>
              </w:rPr>
              <w:t>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bank,</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Ratification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Our</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votes</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cast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have  no  effect  on  the</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broker,</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dealer,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Independent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Registered</w:t>
            </w:r>
          </w:p>
        </w:tc>
        <w:tc>
          <w:tcPr>
            <w:tcW w:w="9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Proposal</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exceeds</w:t>
            </w:r>
          </w:p>
        </w:tc>
        <w:tc>
          <w:tcPr>
            <w:tcW w:w="2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outcome of the vote on</w:t>
            </w:r>
          </w:p>
        </w:tc>
        <w:tc>
          <w:tcPr>
            <w:tcW w:w="1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other  nominee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Public Accounting Firm</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votes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cast</w:t>
            </w: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this proposal.</w:t>
            </w:r>
          </w:p>
        </w:tc>
        <w:tc>
          <w:tcPr>
            <w:tcW w:w="3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generally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vote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w w:val="99"/>
              </w:rPr>
              <w:t>“AGAINST” Proposal No.</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without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instructions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w w:val="99"/>
              </w:rPr>
              <w:t>2 (assuming that a quorum</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on this proposal, we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is present).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do  not</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broker  non-votes  to</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result</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for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this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proposal.</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9" w:name="page10"/>
    <w:bookmarkEnd w:id="9"/>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9"/>
        </w:trPr>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0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Voting Requirement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Requires that the number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of Our 2021</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votes</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cast</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“FOR”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Proposal</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No.  3</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exceeds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number of votes cast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9"/>
              </w:rPr>
              <w:t>“AGAINST” Proposal No.</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9"/>
              </w:rPr>
              <w:t>3 (assuming that a quorum</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is present).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Requires that the number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of Our 2021</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votes</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cast</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“FOR”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Proposal</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No.  4</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exceeds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number of votes cast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9"/>
              </w:rPr>
              <w:t>“AGAINST” Proposal No.</w:t>
            </w:r>
          </w:p>
        </w:tc>
        <w:tc>
          <w:tcPr>
            <w:tcW w:w="0" w:type="dxa"/>
            <w:vAlign w:val="bottom"/>
          </w:tcPr>
          <w:p>
            <w:pPr>
              <w:spacing w:after="0"/>
              <w:rPr>
                <w:sz w:val="1"/>
                <w:szCs w:val="1"/>
                <w:color w:val="auto"/>
              </w:rPr>
            </w:pPr>
          </w:p>
        </w:tc>
      </w:tr>
    </w:tbl>
    <w:p>
      <w:pPr>
        <w:ind w:left="2820"/>
        <w:spacing w:after="0"/>
        <w:rPr>
          <w:sz w:val="20"/>
          <w:szCs w:val="20"/>
          <w:color w:val="auto"/>
        </w:rPr>
      </w:pPr>
      <w:r>
        <w:rPr>
          <w:rFonts w:ascii="Times New Roman" w:cs="Times New Roman" w:eastAsia="Times New Roman" w:hAnsi="Times New Roman"/>
          <w:sz w:val="18"/>
          <w:szCs w:val="18"/>
          <w:color w:val="auto"/>
        </w:rPr>
        <w:t>4 (assuming that a quorum</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is present).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340" w:right="340" w:firstLine="49"/>
        <w:spacing w:after="0" w:line="264" w:lineRule="auto"/>
        <w:rPr>
          <w:sz w:val="20"/>
          <w:szCs w:val="20"/>
          <w:color w:val="auto"/>
        </w:rPr>
      </w:pPr>
      <w:r>
        <w:rPr>
          <w:rFonts w:ascii="Times New Roman" w:cs="Times New Roman" w:eastAsia="Times New Roman" w:hAnsi="Times New Roman"/>
          <w:sz w:val="14"/>
          <w:szCs w:val="14"/>
          <w:b w:val="1"/>
          <w:bCs w:val="1"/>
          <w:color w:val="auto"/>
        </w:rPr>
        <w:t>Effect of Withheld Votes or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An “ABSTAIN” vote will have no effect on the outcome of the vote on this proposal.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“ABSTAIN” vote will have no effect on the outcome of the vote on this proposal.</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Effect of Broker Non-</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003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3" w:lineRule="exact"/>
        <w:rPr>
          <w:sz w:val="20"/>
          <w:szCs w:val="20"/>
          <w:color w:val="auto"/>
        </w:rPr>
      </w:pPr>
    </w:p>
    <w:p>
      <w:pPr>
        <w:jc w:val="both"/>
        <w:ind w:right="299"/>
        <w:spacing w:after="0" w:line="261" w:lineRule="auto"/>
        <w:rPr>
          <w:sz w:val="20"/>
          <w:szCs w:val="20"/>
          <w:color w:val="auto"/>
        </w:rPr>
      </w:pPr>
      <w:r>
        <w:rPr>
          <w:rFonts w:ascii="Times New Roman" w:cs="Times New Roman" w:eastAsia="Times New Roman" w:hAnsi="Times New Roman"/>
          <w:sz w:val="18"/>
          <w:szCs w:val="18"/>
          <w:color w:val="auto"/>
        </w:rPr>
        <w:t>Broker non-votes will have no effect on the outcome of the vote on this proposal.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99"/>
        <w:spacing w:after="0" w:line="261" w:lineRule="auto"/>
        <w:rPr>
          <w:sz w:val="20"/>
          <w:szCs w:val="20"/>
          <w:color w:val="auto"/>
        </w:rPr>
      </w:pPr>
      <w:r>
        <w:rPr>
          <w:rFonts w:ascii="Times New Roman" w:cs="Times New Roman" w:eastAsia="Times New Roman" w:hAnsi="Times New Roman"/>
          <w:sz w:val="18"/>
          <w:szCs w:val="18"/>
          <w:color w:val="auto"/>
        </w:rPr>
        <w:t>Broker non-votes will have no effect on the outcome of the vote on this proposal.</w:t>
      </w:r>
    </w:p>
    <w:p>
      <w:pPr>
        <w:spacing w:after="0" w:line="820" w:lineRule="exact"/>
        <w:rPr>
          <w:sz w:val="20"/>
          <w:szCs w:val="20"/>
          <w:color w:val="auto"/>
        </w:rPr>
      </w:pPr>
    </w:p>
    <w:p>
      <w:pPr>
        <w:sectPr>
          <w:pgSz w:w="11900" w:h="16838" w:orient="portrait"/>
          <w:cols w:equalWidth="0" w:num="3">
            <w:col w:w="4760" w:space="220"/>
            <w:col w:w="1940" w:space="220"/>
            <w:col w:w="1879"/>
          </w:cols>
          <w:pgMar w:left="1440" w:top="114" w:right="1440" w:bottom="1440" w:gutter="0" w:footer="0" w:header="0"/>
        </w:sectPr>
      </w:pPr>
    </w:p>
    <w:p>
      <w:pPr>
        <w:spacing w:after="0" w:line="57"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is paying for the cost of this proxy solicitation?</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bear the entire cost of solicitation of proxies, including preparation, assembly and mailing of this Proxy Statement, the proxy, the Notice and any additional information furnished to stockholders. Copies of solicitation materials will be furnished to banks, brokers, dealers, and other nominees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w:t>
      </w:r>
    </w:p>
    <w:p>
      <w:pPr>
        <w:spacing w:after="0" w:line="188" w:lineRule="exact"/>
        <w:rPr>
          <w:sz w:val="20"/>
          <w:szCs w:val="20"/>
          <w:color w:val="auto"/>
        </w:rPr>
      </w:pPr>
    </w:p>
    <w:p>
      <w:pPr>
        <w:ind w:left="640" w:right="599" w:hanging="348"/>
        <w:spacing w:after="0" w:line="286"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may I obtain an additional copy of the proxy materials? How may I reduce the number of copies our household receives?</w:t>
      </w:r>
    </w:p>
    <w:p>
      <w:pPr>
        <w:spacing w:after="0" w:line="51" w:lineRule="exact"/>
        <w:rPr>
          <w:sz w:val="20"/>
          <w:szCs w:val="20"/>
          <w:color w:val="auto"/>
        </w:rPr>
      </w:pPr>
    </w:p>
    <w:p>
      <w:pPr>
        <w:jc w:val="both"/>
        <w:ind w:left="640" w:right="299" w:hanging="348"/>
        <w:spacing w:after="0" w:line="256"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potentially means extra convenience for stockholders and cost savings for companies.</w:t>
      </w:r>
    </w:p>
    <w:p>
      <w:pPr>
        <w:spacing w:after="0" w:line="79" w:lineRule="exact"/>
        <w:rPr>
          <w:rFonts w:ascii="Times New Roman" w:cs="Times New Roman" w:eastAsia="Times New Roman" w:hAnsi="Times New Roman"/>
          <w:sz w:val="18"/>
          <w:szCs w:val="18"/>
          <w:color w:val="auto"/>
        </w:rPr>
      </w:pPr>
    </w:p>
    <w:p>
      <w:pPr>
        <w:jc w:val="both"/>
        <w:ind w:left="660"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bank or broker. If you are a holder “of record,” you may call Broadridge at (800) 542-1061 or submit a request in writing to Broadridge Financial Solutions, Inc., Householding Department at 51 Mercedes Way, Edgewood, New York, 11717.</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receive future proxy statements and related materials electronically in the future?</w:t>
      </w:r>
    </w:p>
    <w:p>
      <w:pPr>
        <w:spacing w:after="0" w:line="121" w:lineRule="exact"/>
        <w:rPr>
          <w:sz w:val="20"/>
          <w:szCs w:val="20"/>
          <w:color w:val="auto"/>
        </w:rPr>
      </w:pPr>
    </w:p>
    <w:p>
      <w:pPr>
        <w:jc w:val="both"/>
        <w:ind w:left="640" w:right="319" w:hanging="348"/>
        <w:spacing w:after="0" w:line="261"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would like to reduce the costs incurred by the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Annual Meeting?</w:t>
      </w:r>
    </w:p>
    <w:p>
      <w:pPr>
        <w:spacing w:after="0" w:line="121" w:lineRule="exact"/>
        <w:rPr>
          <w:sz w:val="20"/>
          <w:szCs w:val="20"/>
          <w:color w:val="auto"/>
        </w:rPr>
      </w:pPr>
    </w:p>
    <w:p>
      <w:pPr>
        <w:jc w:val="both"/>
        <w:ind w:left="640" w:right="319" w:hanging="348"/>
        <w:spacing w:after="0" w:line="261"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announce preliminary voting results with respect to each proposal at the Annual Meeting. In accordance with SEC rules, final voting results will be published in a Current Report on Form 8-K within four</w:t>
      </w:r>
    </w:p>
    <w:p>
      <w:pPr>
        <w:jc w:val="both"/>
        <w:ind w:left="640" w:right="2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business days following the Annual Meeting, unless final results are not known at that time, in which case preliminary voting results will be published within four business days of the Annual Meeting and final voting results will be published once we know them.</w:t>
      </w:r>
    </w:p>
    <w:p>
      <w:pPr>
        <w:spacing w:after="0" w:line="18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should I contact with other questions?</w:t>
      </w:r>
    </w:p>
    <w:p>
      <w:pPr>
        <w:spacing w:after="0" w:line="121" w:lineRule="exact"/>
        <w:rPr>
          <w:sz w:val="20"/>
          <w:szCs w:val="20"/>
          <w:color w:val="auto"/>
        </w:rPr>
      </w:pPr>
    </w:p>
    <w:p>
      <w:pPr>
        <w:jc w:val="both"/>
        <w:ind w:left="640" w:right="319" w:hanging="348"/>
        <w:spacing w:after="0" w:line="26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additional questions about this Proxy Statement or the Annual Meeting, or if you would like additional copies of this Proxy Statement, please contact our Chief Financial Officer at: Expion360 Inc., 2025 SW Deerhound Avenue, Redmond, Oregon 97756.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DIRECTORS, EXECUTIVE OFFICERS AND CORPORATE GOVERNANCE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is managed under the direction of our Board. Our Board meets on a regularly scheduled basis to review significant developments affecting the Company and to act on matters requiring Board approval. Our Board also holds special meetings when an important matter requires Board action between scheduled meetings and also acts by unanimous written consent when necessary and appropriate. Our Board met ten times during 2024. In addition, our Board took action one time during 2024 by unanimous written consent in lieu of a meeting, as permitted by applicable law. During 2024, each member of our Board attended or participated in 75% or more of the aggregate of the total number of meetings of our Board and committees on which they served during the period for which such director was serving as a director. We, and our Board, expect all current directors to attend our annual meetings of stockholders barring unforeseen circumstances or irresolvable conflicts. While we do not have a written policy on Board attendance at annual meetings of stockholders, we schedule a Board meeting immediately after the annual meeting for which members attending receive compensation. Three of our directors who were serving as directors at the time attended our annual meeting of stockholders held in 2024.</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Paul Shoun, our Co-Founder and President, also serves as Chairman of our Board. Currently, our Board does not have a Lead Independent Director. Although our Board may assess the appropriate leadership structure from time to time in light of internal and external events or developments and reserves the right to make changes in the future, it believes that the current structure is appropriate at this time given the size and experience of our Board, as well as the background and experience of management. Our Board does not believe that having the President serve as Chairman of our Board materially impacts its process for risk oversight because Board committees (comprised entirely of independent directors during the year ended December 31, 2024) play the central role in risk oversight.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Qualifications and Diversity</w:t>
      </w:r>
    </w:p>
    <w:p>
      <w:pPr>
        <w:spacing w:after="0" w:line="121"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the review of corporate governance; identifying, reviewing, and managing our Board’s composition; evaluating the performance of our Board as applies to our Code of Business Conduct and Ethics and Board and internal policies; ensuring compliance with all laws, regulations, and best practices; ensuring adequacy of charter and policies; recommending persons for election to our Board; reviewing the composition of committees of our Board and recommending persons to be members of such committees; and reviewing conflicts of interest of members of our Board and corporate officers. Our Nominating and Corporate Governance Committee may use outside consultants to assist in identifying candidates and will also consider advice and recommendations from stockholders, management, and others as it deems appropriate.</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When evaluating director nominees, our Nominating and Corporate Governance Committee considers the following factors:</w:t>
      </w:r>
    </w:p>
    <w:p>
      <w:pPr>
        <w:spacing w:after="0" w:line="54" w:lineRule="exact"/>
        <w:rPr>
          <w:sz w:val="20"/>
          <w:szCs w:val="20"/>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size and composition of our Board and the needs of our Board and respective Board committees;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financial experience and acumen, integrity, willingness to devote the necessary time and energy to fulfill director responsibilities, independence, judgment, diversity of experience, length of service, and potential conflicts of interest;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our Nominating and Corporate Governance committee may consider appropriate.</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goal is to assemble a board of directors that brings together a variety of skills derived from high quality business and professional experience. While we do not have a formal diversity policy for Board membership, our Board does seek to ensure that its membership consists of sufficiently diverse backgrounds, meaning a mix of backgrounds and experiences that will enhance the quality of our Board’s deliberations and decisions. In considering candidates for our Board, our Nominating and Corporate Governance Committee, which is comprised of independent directors, consider, among other factors, diversity with respect to viewpoints, skills, experience and other demographics.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 and Charters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Our Board has three standing committees – our Audit Committee, Compensation Committee, and Nominating and Corporate Governance Committee. Our Board maintains charters for each of these standing committees. The charters of our standing Board committees are available in the “Corporate Governance” section of our investor relations website at </w:t>
      </w:r>
      <w:r>
        <w:rPr>
          <w:rFonts w:ascii="Times New Roman" w:cs="Times New Roman" w:eastAsia="Times New Roman" w:hAnsi="Times New Roman"/>
          <w:sz w:val="18"/>
          <w:szCs w:val="18"/>
          <w:i w:val="1"/>
          <w:iCs w:val="1"/>
          <w:color w:val="auto"/>
        </w:rPr>
        <w:t>www.investors.expion360.com</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 separately designated standing audit committee (our “Audit Committee”) established in accordance with Section 3(a)(58)(A) of the Securities Exchange Act of 1934, as amended (the “Exchange Act”). Our Audit Committee consists of Messrs. Steven M. Shum (Chair), George Lefevre, and Tien Q. Nguyen, each of whom meet the requirements for independence under the rules of The Nasdaq Stock Market LLC (“Nasdaq”) and SEC rules and regulations and is financially literate. Mr. Shum is the Chair of our Audit Committee and has been determined by our Board to be an “audit committee financial expert” as such term is defined under SEC rules and regulations. Our Board has considered the independence and other characteristics of each member of our Audit Committee and believes that each member meets the independence and other requirements of Nasdaq and the SEC. Our Audit Committee operates under a written charter that satisfies the applicable standards of SEC and Nasdaq.</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Audit Committee, among other things, is responsible for:</w:t>
      </w:r>
    </w:p>
    <w:p>
      <w:pPr>
        <w:spacing w:after="0" w:line="117" w:lineRule="exact"/>
        <w:rPr>
          <w:sz w:val="20"/>
          <w:szCs w:val="20"/>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financial statements and the other financial information we provide to our stockholders and other interested parties;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periodic reviews of the adequacy of the auditing, accounting, and financial reporting processes and systems of internal control that are conducted by our independent registered public accounting firm and management;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responsible for the selection, retention, compensation, and termination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independence and performance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 among our independent registered public accounting firm, management, and our Board;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audit committee report required by SEC rules and regulations to be included in our annual proxy statement;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and responsibilities as are enumerated in and consistent with our Audit Committee charter.</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2024, our Audit Committee met four times.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 separately designated standing Compensation Committee, which is currently comprised of Messrs. Nguyen (Chair), Lefevre and Shum. Our Board has considered the independence and other characteristics of each current and anticipated member of our Compensation Committee. Our Board believes that each member of our Compensation Committee meets the requirements for independence under the current requirements of Nasdaq, is a nonemployee director as defined by Rule 16b-3 promulgated under the Exchange Act, and is an outside director as defined pursuant to Section 162(m) of the Internal Revenue Code of 1986, as amended (the “Code”).</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Compensation Committee oversees the Company’s compensation structure and practices for both executive officers and director compensation, including incentive-based compensation and equity-based plans. Our Compensation Committee reviews and evaluates the performance of the Company’s directors and executive officers and provides recommendations to our Board regarding the form and amount of compensation to be paid by the Company to directors and executive officers. Our Compensation Committee may use outside consultants it deems necessary or appropriate to carry out its responsibilities.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Nasdaq.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Compensation Committee is, among other things, responsible for:</w:t>
      </w:r>
    </w:p>
    <w:p>
      <w:pPr>
        <w:spacing w:after="0" w:line="117" w:lineRule="exact"/>
        <w:rPr>
          <w:sz w:val="20"/>
          <w:szCs w:val="20"/>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in developing and reviewing compensation programs applicable to our executive officers and directors;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Company’s overall compensation philosophy, strategy, and objectives;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he total compensation opportunity, as well as each component of compensation, paid to our executive officers and directors;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and cash-based compensation plans applicable to our directors, officers and employees;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of our Compensation Committee required by SEC rules to be included in our annual proxy statement;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and responsibilities as are enumerated in and consistent with our Compensation Committee charter.</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2024, our Compensation Committee met one time and took action by unanimous written consent one time.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4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Compensation Committee has the power to engage independent advisors to assist it in carrying out its responsibilities.</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Compensation Committee engaged Frederic W. Cook &amp; Co., Inc. (“FW Cook”), an internationally recognized compensation consulting firm, as its compensation consultant in 2023. FW Cook reviewed and advised our Compensation Committee on our director compensation practices. Our Compensation Committee assessed the independence of FW Cook pursuant to SEC rules and concluded that the work of FW Cook has not raised any conflict of interest.</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Compensation Committee reviewed widely-used survey data to benchmark our director compensation arrangements. Our Compensation Committee used broad survey data, in part, because there was a lack of direct data on publicly traded ultra micro-cap lithium-ion battery companies as a peer group. Additionally, our Compensation Committee chose this approach as the large size of the survey reduced the dependence of the results on any one industry that could otherwise skew the survey results in any particular year.</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Using this approach, FW Cook compared positions of similar scope and complexity with the data contained in the surveys. FW Cook then provided a compensation range for each director. Our Compensation Committee set target</w:t>
      </w: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compensation levels for directors in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range of micro-organizations due to the current size of the Company. Our Compensation Committee believes the use of this range (i) helps ensure our compensation program provides sufficient compensation to attract and retain talented directors and (ii) maintains internal pay equity, without overcompensating the directors. Each director’s target compensation level for this purpose is based on the sum of his annual cash compensation, annual equity grant, committee Chair retainers, and board leadership retainer.</w:t>
      </w:r>
    </w:p>
    <w:p>
      <w:pPr>
        <w:spacing w:after="0" w:line="9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Due to a lack of data and the emerging market in which we operate, our Compensation Committee is unable to review pay practices at companies of similar size and industry. The current peer group data used to evaluate the compensation arrangements for our directors includes widely used survey data from micro-organizations constituting $50 million to less than $500 million in annual revenue. With respect to FW Cook’s assessment, the</w:t>
      </w:r>
    </w:p>
    <w:p>
      <w:pPr>
        <w:spacing w:after="0" w:line="3" w:lineRule="exact"/>
        <w:rPr>
          <w:sz w:val="20"/>
          <w:szCs w:val="20"/>
          <w:color w:val="auto"/>
        </w:rPr>
      </w:pPr>
    </w:p>
    <w:p>
      <w:pPr>
        <w:jc w:val="both"/>
        <w:ind w:left="300" w:right="319"/>
        <w:spacing w:after="0" w:line="209" w:lineRule="auto"/>
        <w:rPr>
          <w:sz w:val="20"/>
          <w:szCs w:val="20"/>
          <w:color w:val="auto"/>
        </w:rPr>
      </w:pPr>
      <w:r>
        <w:rPr>
          <w:rFonts w:ascii="Times New Roman" w:cs="Times New Roman" w:eastAsia="Times New Roman" w:hAnsi="Times New Roman"/>
          <w:sz w:val="18"/>
          <w:szCs w:val="18"/>
          <w:color w:val="auto"/>
        </w:rPr>
        <w:t>comparable group of companies focused on the companies within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survey data within the micro-organizations band.</w:t>
      </w:r>
    </w:p>
    <w:p>
      <w:pPr>
        <w:spacing w:after="0" w:line="9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FW Cook’s advice from 2023 has continued to be used in compensation decisions though the present date, and it is expected that FW Cook’s assessment using both survey data and peer group analyses will continue to be considered in setting compensation and in renewing the terms of employment agreements for our executive officers until our Compensation Committee determines it is necessary to seek updated data and advice.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a separately designated a standing Nominating and Corporate Governance Committee, which is currently comprised of Messrs. Lefevre (Chair), Nguyen, and Shum. Our Nominating and Corporate Governance Committee operates under a written charter. Under our policy, our Nominating and Corporate Governance Committee, which 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all independent, nominate our directors. We also consider any nominations of director candidates validly made by our stockholders if submitted in a timely manner and will apply the same criteria to all persons being considered.</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Nominating and Corporate Governance Committee is, among other things, responsible for:</w:t>
      </w:r>
    </w:p>
    <w:p>
      <w:pPr>
        <w:spacing w:after="0" w:line="117" w:lineRule="exact"/>
        <w:rPr>
          <w:sz w:val="20"/>
          <w:szCs w:val="20"/>
          <w:color w:val="auto"/>
        </w:rPr>
      </w:pPr>
    </w:p>
    <w:p>
      <w:pPr>
        <w:ind w:left="1000" w:right="29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in identifying candidates qualified to serve as directors, consistent with selection criteria approved by our Board and our Nominating and Corporate Governance Committee;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appointment of director nominees that meet the selection criteria;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appointment of directors to serve on each Board committee;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corporate governance policies and procedures as our Nominating and Corporate Governance Committee determines is appropriate from time to time;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our Board, and of each committee of our Board;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and responsibilities as are consistent with our Nominating and Corporate Governance Committee charter.</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2024, our Nominating and Corporate Governance Committee met two times.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Nominations for Directorships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our Nominating and Corporate Governance Committee for consideration as potential director candidates by submitting their names and background to the Chief Financial Officer of the Company at the address set forth below under “</w:t>
      </w:r>
      <w:r>
        <w:rPr>
          <w:rFonts w:ascii="Times New Roman" w:cs="Times New Roman" w:eastAsia="Times New Roman" w:hAnsi="Times New Roman"/>
          <w:sz w:val="18"/>
          <w:szCs w:val="18"/>
          <w:i w:val="1"/>
          <w:iCs w:val="1"/>
          <w:color w:val="auto"/>
        </w:rPr>
        <w:t>Stockholder Proposals and Director Nominations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2026 Annual Meeting</w:t>
      </w:r>
      <w:r>
        <w:rPr>
          <w:rFonts w:ascii="Times New Roman" w:cs="Times New Roman" w:eastAsia="Times New Roman" w:hAnsi="Times New Roman"/>
          <w:sz w:val="18"/>
          <w:szCs w:val="18"/>
          <w:color w:val="auto"/>
        </w:rPr>
        <w:t>” in accordance with the provisions set forth in our Amended and Restated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“Bylaws”). All such recommendations will be forwarded to our Nominating and Corporate Governance Committee, which will review and only consider such recommendations if appropriate biographical and other information is provided, including, but not limited to, the items listed below, on a timely basis. All stockholders’ recommendations for director candidates must be received by the Company in the timeframes set forth under the heading “</w:t>
      </w:r>
      <w:r>
        <w:rPr>
          <w:rFonts w:ascii="Times New Roman" w:cs="Times New Roman" w:eastAsia="Times New Roman" w:hAnsi="Times New Roman"/>
          <w:sz w:val="18"/>
          <w:szCs w:val="18"/>
          <w:i w:val="1"/>
          <w:iCs w:val="1"/>
          <w:color w:val="auto"/>
        </w:rPr>
        <w:t>Stockholder Proposals and Director Nominations For 2026 Annual Meeting</w:t>
      </w:r>
      <w:r>
        <w:rPr>
          <w:rFonts w:ascii="Times New Roman" w:cs="Times New Roman" w:eastAsia="Times New Roman" w:hAnsi="Times New Roman"/>
          <w:sz w:val="18"/>
          <w:szCs w:val="18"/>
          <w:color w:val="auto"/>
        </w:rPr>
        <w:t>” below.</w:t>
      </w:r>
    </w:p>
    <w:p>
      <w:pPr>
        <w:spacing w:after="0" w:line="80"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record of the stockholder;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record holder of the Company’s securities, or if the stockholder is not a record holder, evidence of ownership in accordance with Rule 14a-8(b)(2)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and residential address, educational background, current principal occupation or employment, and principal occupation or employment for the preceding five full fiscal years of the proposed director candidate;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qualifications and background of the proposed director candidate and a representation that the proposed director candidate meets applicable independence requirements;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arrangements or understandings between the stockholder and the proposed director candidate;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proposed director candidate to be named in the proxy statement relating to the Company’s annual meeting of stockholders and to serve as a director if elected at such annual meeting.</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Assuming that appropriate information is provided for candidates recommended by stockholders, our Nominating and Corporate Governance Committee will evaluate those candidates by following substantially the same process, and applying substantially the same criteria, as for candidates submitted by members of our Board or other persons, as described above and as set forth in our Bylaws.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has oversight responsibility for the processes established to report and monitor material risks applicable to the Company. Our Board also oversees the appropriate allocation of responsibility for risk oversight among our Board committees. Our Audit Committee plays a central role in overseeing the integrity of the Company’s financial statements and reviewing and approving the performance of the Company’s internal audit function and independent accountants. Our Nominating and Corporate Governance Committee is responsible for oversight of risks related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succession planning and the attraction and retention of talent. Our Compensation Committee monitors the design and administration of the Company’s compensation programs to ensure that they incentivize strong individual and group performance and include appropriate safeguards to avoid unintended or excessive risk taking by Company officers and employees.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On January 3, 2022, our Board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in the “Corporate Governance” section of our investor relations website at </w:t>
      </w:r>
      <w:r>
        <w:rPr>
          <w:rFonts w:ascii="Times New Roman" w:cs="Times New Roman" w:eastAsia="Times New Roman" w:hAnsi="Times New Roman"/>
          <w:sz w:val="18"/>
          <w:szCs w:val="18"/>
          <w:i w:val="1"/>
          <w:iCs w:val="1"/>
          <w:color w:val="auto"/>
        </w:rPr>
        <w:t>www.investors.expion360.com</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intend to disclose future amendments to our Code of Business Conduct and Ethics,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Proxy Statement does not include or incorporate by reference the information on our website into this Proxy Statement or any of our other SEC filings.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majority of our directors satisfy the criteria for “independent directors,” under Nasdaq rules. Our Nominating and Corporate Governance Committee is required to annually review each director’s independence and any material relationships such director has with the Company. Following such review, only those directors who our Board affirmatively determines have no material relationship with the Company, and otherwise satisfy the independence requirements of Nasdaq rules, will be considered “independent directors.”</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has affirmatively determined that Messrs. Lefevre, Nguyen, and Shum do not have a relationship that would interfere with the exercise of independent judgment in carrying out the responsibilities of a director and that each of these directors is “independent” as that term is defined under applicable Nasdaq and Exchange Act rules.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a result, a majority of our directors are independent, as required under applicable Nasdaq rules. Our independent directors meet in regularly scheduled executive sessions at which only independent directors are present.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Family Relationships and Other Arrangements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 There are no arrangements or understandings between or among our executive officers and directors pursuant to which any director or executive officer was or is to be selected as a director or executive officer.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 are no legal proceedings involving any of our directors or executive officers which require disclosure pursuant to applicable SEC rules.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 with Our Board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Annual Meeting provides an opportunity each year for stockholders to ask questions of, or otherwise communicate directly with, members of our Board on appropriate matters. In addition, any interested party may communicate in writing with any particular director, including our Chairman, any committee of our Board, or the directors as a group, by sending such written communication to our Chief Financial Officer at our executive offices located at Expion360 Inc., 2025 SW Deerhound Avenue, Redmond, Oregon 97756. Copies of written communications received at such address will be provided to our Board or the relevant director unless such communications are considered, in the reasonable judgment of our Chief Financial Officer, to be inappropriate for submission to the intended recipient(s). The Chief Financial Officer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our stockholders will be forwarded to the Chair of our Nominating and Corporate Governance Committee.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Related-Person Transactions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a written related-party transaction policy that governs the review and approval of transactions, arrangements or relationships in which the Company is a participant and a related person has a direct or indirect material interest, as defined under Item 404 of Regulation S-K. This policy applies to transactions where the amount involved exceeds $120,000 and covers, among other things, indebtedness, employment arrangements, and other financial relationships. Under the policy, our Audit Committee considers all relevant facts and circumstances when evaluating such transactions, including whether the terms are comparable to those available in an arm’s-length transaction and the extent of the related person’s interest.</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Below is a summary of transactions that were determined to be related-person transactions under SEC rules and our policy:</w:t>
      </w:r>
    </w:p>
    <w:p>
      <w:pPr>
        <w:spacing w:after="0" w:line="50" w:lineRule="exact"/>
        <w:rPr>
          <w:sz w:val="20"/>
          <w:szCs w:val="20"/>
          <w:color w:val="auto"/>
        </w:rPr>
      </w:pPr>
    </w:p>
    <w:p>
      <w:pPr>
        <w:jc w:val="both"/>
        <w:ind w:left="1000" w:right="299" w:hanging="348"/>
        <w:spacing w:after="0" w:line="259"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 Porter Burns Notes</w:t>
      </w:r>
      <w:r>
        <w:rPr>
          <w:rFonts w:ascii="Times New Roman" w:cs="Times New Roman" w:eastAsia="Times New Roman" w:hAnsi="Times New Roman"/>
          <w:sz w:val="18"/>
          <w:szCs w:val="18"/>
          <w:color w:val="auto"/>
        </w:rPr>
        <w:t>: On August 1, 2018 and January 1, 2019, the Company issued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promissory notes in favor of H. Porter Burns, a former business partner of John Yozamp, our Co-Founder and former Chief Business Development Officer. The notes had original principal amounts of $500,000 and $62,500, respectively, bore interest at 10% per annum with monthly interest-only payments, and were repaid in full on August 8, 2024 and December 31, 2023, respectively.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James Yozamp, Jr. Notes</w:t>
      </w:r>
      <w:r>
        <w:rPr>
          <w:rFonts w:ascii="Times New Roman" w:cs="Times New Roman" w:eastAsia="Times New Roman" w:hAnsi="Times New Roman"/>
          <w:sz w:val="18"/>
          <w:szCs w:val="18"/>
          <w:color w:val="auto"/>
        </w:rPr>
        <w:t>: On January 1, 2019 and December 31, 2019, the Company issued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promissory notes in favor of James Yozamp, Jr., the brother of John Yozamp. The notes had original principal amounts of $62,500 and $200,000, respectively, bore interest at 10% per annum with monthly interest-only payments, and were repaid in full on January 23, 2024 and August 8, 2024, respectively.</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Policies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maintains an insider trading policy (the “Insider Trading Policy”) that prohibits our directors, officers that are subject to Section 16 of the Exchange Act, and certain other designated employees from (i) purchasing and selling put options, call options or other derivatives of Company securities and (ii) engaging in short sales of Company securities. In addition, the Insider Trading Policy prohibits our officers that are not subject to Section 16 of the Exchange Act, assistants and secretaries of insiders and certain other designated employees from engaging in short sales of Company securities. These prohibitions apply to Company securities held directly and indirectly by the aforementioned parties including Company securities granted as part of compensation to such aforementioned parties. There are no categories of hedging transactions that are specifically permitted by the Insider Trading Policy.</w:t>
      </w: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is a list of the names, ages, date first elected or appointed, and positions of our executive officers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17, 2025:</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First</w:t>
            </w:r>
          </w:p>
        </w:tc>
        <w:tc>
          <w:tcPr>
            <w:tcW w:w="1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Elected or</w:t>
            </w:r>
          </w:p>
        </w:tc>
        <w:tc>
          <w:tcPr>
            <w:tcW w:w="100" w:type="dxa"/>
            <w:vAlign w:val="bottom"/>
          </w:tcPr>
          <w:p>
            <w:pPr>
              <w:spacing w:after="0"/>
              <w:rPr>
                <w:sz w:val="12"/>
                <w:szCs w:val="12"/>
                <w:color w:val="auto"/>
              </w:rPr>
            </w:pPr>
          </w:p>
        </w:tc>
        <w:tc>
          <w:tcPr>
            <w:tcW w:w="462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Appointed</w:t>
            </w:r>
          </w:p>
        </w:tc>
        <w:tc>
          <w:tcPr>
            <w:tcW w:w="100" w:type="dxa"/>
            <w:vAlign w:val="bottom"/>
          </w:tcPr>
          <w:p>
            <w:pPr>
              <w:spacing w:after="0"/>
              <w:rPr>
                <w:sz w:val="16"/>
                <w:szCs w:val="16"/>
                <w:color w:val="auto"/>
              </w:rPr>
            </w:pPr>
          </w:p>
        </w:tc>
        <w:tc>
          <w:tcPr>
            <w:tcW w:w="4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Shoun</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President, and Chairman of our Board</w:t>
            </w:r>
          </w:p>
        </w:tc>
        <w:tc>
          <w:tcPr>
            <w:tcW w:w="0" w:type="dxa"/>
            <w:vAlign w:val="bottom"/>
          </w:tcPr>
          <w:p>
            <w:pPr>
              <w:spacing w:after="0"/>
              <w:rPr>
                <w:sz w:val="1"/>
                <w:szCs w:val="1"/>
                <w:color w:val="auto"/>
              </w:rPr>
            </w:pPr>
          </w:p>
        </w:tc>
      </w:tr>
      <w:tr>
        <w:trPr>
          <w:trHeight w:val="21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 Interim Chief Financial</w:t>
            </w: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3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Carson Heagen</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54"/>
        </w:trPr>
        <w:tc>
          <w:tcPr>
            <w:tcW w:w="2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the directors and the directors may, at any time, terminate the appointment or otherwise revoke, withdraw, alter, or vary all or any of the functions, duties, and powers of the officer.</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Set forth below is biographical information for Mr. Heagen. Biographical information for Messrs. Shoun and Schaffner can be found in Proposal No. 1 of this Proxy Statement.</w:t>
      </w:r>
    </w:p>
    <w:p>
      <w:pPr>
        <w:spacing w:after="0" w:line="5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Carson Heagen – Chief Operating Officer</w:t>
      </w:r>
      <w:r>
        <w:rPr>
          <w:rFonts w:ascii="Times New Roman" w:cs="Times New Roman" w:eastAsia="Times New Roman" w:hAnsi="Times New Roman"/>
          <w:sz w:val="18"/>
          <w:szCs w:val="18"/>
          <w:color w:val="auto"/>
        </w:rPr>
        <w:t>. Mr. Heagen brings over ten years of experience in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operations, finance, supply chain management, product development, and enterprise resource planning (“ERP”) systems. Since joining the Company in April 2021 as the Director of Finance, Mr. Heagen quickly advanced to Vice President of Operations by November 2021. Mr. Heagen oversees the Company’s international supply chain and manufacturing, warehouse, and logistics operations, serves as the Company’s NetSuite ERP administrator, and manages the Company’s marketing initiatives. Prior to joining the Company, Mr. Heagen served as Purchasing and Supply Chain Manager at Stout Tanks &amp; Kettles from January 2020 to April 2021 and Purchasing, Logistics,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Customer Service Manager at Tensility International Corporation from January 2017 to December 2019. Mr. Heagen’s previous experience highlights his experience in optimizing global supply chains and managing operations for tech-focused companies. Mr. Heagen holds a Bachelor of Business Administration in both Business Management and Entrepreneurial Management from Boise State University’s College of Business and Economics.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DISCUSSION</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well as a “smaller reporting company” as defined by the SEC in Rule 12b-2 of the Exchange Act. As such, we are not required to include a Compensation Discussion and Analysis section and have elected to comply with the scaled disclosure requirements applicable to emerging growth companies and smaller reporting companies.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 Compensation Table” below. In 2024, our “named executive officers” and their positions were:</w:t>
      </w:r>
    </w:p>
    <w:p>
      <w:pPr>
        <w:spacing w:after="0" w:line="68" w:lineRule="exact"/>
        <w:rPr>
          <w:sz w:val="20"/>
          <w:szCs w:val="20"/>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Shoun, who currently serves as our Co-Founder, President, and Chairman of our Board and previously served as our Chief Operating Officer through April 1, 2025;</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Schaffner, who currently serves as our Chief Executive Officer and Interim Chief Financial Officer;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 Aydelott, who served as our Chief Financial Officer through December 31, 2024.</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2024 and December 31, 2023. The amounts set forth in the table have been calculated in accordance with the requirements of applicable SEC rules, and do not necessarily reflect the amounts that have actually been paid to, or which may be realized by, our named executive officers.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6"/>
                <w:szCs w:val="16"/>
                <w:color w:val="auto"/>
              </w:rPr>
            </w:pPr>
          </w:p>
        </w:tc>
        <w:tc>
          <w:tcPr>
            <w:tcW w:w="60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500" w:type="dxa"/>
            <w:vAlign w:val="bottom"/>
            <w:tcBorders>
              <w:bottom w:val="single" w:sz="8" w:color="auto"/>
            </w:tcBorders>
          </w:tcPr>
          <w:p>
            <w:pPr>
              <w:jc w:val="right"/>
              <w:ind w:right="19"/>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(1)</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140" w:type="dxa"/>
            <w:vAlign w:val="bottom"/>
          </w:tcPr>
          <w:p>
            <w:pPr>
              <w:spacing w:after="0"/>
              <w:rPr>
                <w:sz w:val="18"/>
                <w:szCs w:val="18"/>
                <w:color w:val="auto"/>
              </w:rPr>
            </w:pPr>
          </w:p>
        </w:tc>
        <w:tc>
          <w:tcPr>
            <w:tcW w:w="5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(3)</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Shoun</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6"/>
                <w:szCs w:val="16"/>
                <w:color w:val="auto"/>
              </w:rPr>
              <w:t>234,050</w:t>
            </w:r>
            <w:r>
              <w:rPr>
                <w:rFonts w:ascii="Times New Roman" w:cs="Times New Roman" w:eastAsia="Times New Roman" w:hAnsi="Times New Roman"/>
                <w:sz w:val="25"/>
                <w:szCs w:val="25"/>
                <w:color w:val="auto"/>
                <w:vertAlign w:val="superscript"/>
              </w:rPr>
              <w:t>(4)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246,226</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Co-Founder, President, Chairman of our</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270,400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203,447</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24,000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524,887</w:t>
            </w: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Board, and Former Chief Operating</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1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282,400</w:t>
            </w:r>
            <w:r>
              <w:rPr>
                <w:rFonts w:ascii="Times New Roman" w:cs="Times New Roman" w:eastAsia="Times New Roman" w:hAnsi="Times New Roman"/>
                <w:sz w:val="25"/>
                <w:szCs w:val="25"/>
                <w:color w:val="auto"/>
                <w:vertAlign w:val="superscript"/>
              </w:rPr>
              <w:t>(5)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40" w:type="dxa"/>
            <w:vAlign w:val="bottom"/>
          </w:tcPr>
          <w:p>
            <w:pPr>
              <w:spacing w:after="0"/>
              <w:rPr>
                <w:sz w:val="18"/>
                <w:szCs w:val="18"/>
                <w:color w:val="auto"/>
              </w:rPr>
            </w:pPr>
          </w:p>
        </w:tc>
        <w:tc>
          <w:tcPr>
            <w:tcW w:w="8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294,576</w:t>
            </w:r>
          </w:p>
        </w:tc>
        <w:tc>
          <w:tcPr>
            <w:tcW w:w="0" w:type="dxa"/>
            <w:vAlign w:val="bottom"/>
          </w:tcPr>
          <w:p>
            <w:pPr>
              <w:spacing w:after="0"/>
              <w:rPr>
                <w:sz w:val="1"/>
                <w:szCs w:val="1"/>
                <w:color w:val="auto"/>
              </w:rPr>
            </w:pPr>
          </w:p>
        </w:tc>
      </w:tr>
      <w:tr>
        <w:trPr>
          <w:trHeight w:val="21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Interim</w:t>
            </w: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8"/>
                <w:szCs w:val="18"/>
                <w:color w:val="auto"/>
              </w:rPr>
              <w:t>270,400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27,040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203,447</w:t>
            </w:r>
          </w:p>
        </w:tc>
        <w:tc>
          <w:tcPr>
            <w:tcW w:w="14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8"/>
                <w:szCs w:val="18"/>
                <w:color w:val="auto"/>
              </w:rPr>
              <w:t>24,000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524,887</w:t>
            </w:r>
          </w:p>
        </w:tc>
        <w:tc>
          <w:tcPr>
            <w:tcW w:w="0" w:type="dxa"/>
            <w:vAlign w:val="bottom"/>
          </w:tcPr>
          <w:p>
            <w:pPr>
              <w:spacing w:after="0"/>
              <w:rPr>
                <w:sz w:val="1"/>
                <w:szCs w:val="1"/>
                <w:color w:val="auto"/>
              </w:rPr>
            </w:pPr>
          </w:p>
        </w:tc>
      </w:tr>
      <w:tr>
        <w:trPr>
          <w:trHeight w:val="86"/>
        </w:trPr>
        <w:tc>
          <w:tcPr>
            <w:tcW w:w="3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8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30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Aydelott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192,000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204,176</w:t>
            </w:r>
          </w:p>
        </w:tc>
        <w:tc>
          <w:tcPr>
            <w:tcW w:w="0" w:type="dxa"/>
            <w:vAlign w:val="bottom"/>
          </w:tcPr>
          <w:p>
            <w:pPr>
              <w:spacing w:after="0"/>
              <w:rPr>
                <w:sz w:val="1"/>
                <w:szCs w:val="1"/>
                <w:color w:val="auto"/>
              </w:rPr>
            </w:pPr>
          </w:p>
        </w:tc>
      </w:tr>
      <w:tr>
        <w:trPr>
          <w:trHeight w:val="302"/>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line="302" w:lineRule="exact"/>
              <w:rPr>
                <w:sz w:val="20"/>
                <w:szCs w:val="20"/>
                <w:color w:val="auto"/>
              </w:rPr>
            </w:pPr>
            <w:r>
              <w:rPr>
                <w:rFonts w:ascii="Times New Roman" w:cs="Times New Roman" w:eastAsia="Times New Roman" w:hAnsi="Times New Roman"/>
                <w:sz w:val="18"/>
                <w:szCs w:val="18"/>
                <w:color w:val="auto"/>
                <w:w w:val="88"/>
                <w:shd w:val="clear" w:color="auto" w:fill="CCEEFF"/>
              </w:rPr>
              <w:t>2023</w:t>
            </w:r>
            <w:r>
              <w:rPr>
                <w:rFonts w:ascii="Times New Roman" w:cs="Times New Roman" w:eastAsia="Times New Roman" w:hAnsi="Times New Roman"/>
                <w:sz w:val="29"/>
                <w:szCs w:val="29"/>
                <w:color w:val="auto"/>
                <w:w w:val="88"/>
                <w:vertAlign w:val="superscript"/>
                <w:shd w:val="clear" w:color="auto" w:fill="CCEEFF"/>
              </w:rPr>
              <w:t>(6)</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right="29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named executive officers voluntarily chose to forego any bonuses in 2024. In 2023, Messrs. Shoun and Schaffner each received a discretionary bonus consisting of $13,520 in cash and $13,520 in restricted stock units (“RSUs”), which vested in full on the grant date.</w:t>
      </w:r>
    </w:p>
    <w:p>
      <w:pPr>
        <w:jc w:val="both"/>
        <w:ind w:left="640" w:right="29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stock options granted during the applicable year computed in accordance with ASC Topic 718. We provide information regarding the assumptions used to calculate the value of all option awards made to executive officers in Note 9 to our audited financial statements included in the Original Report and incorporated herein by reference.</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RSUs granted during the applicable year computed in accordance with ASC Topic 718. For 2024, RSUs were issued in lieu of cash payments for home office and automobile expenses.</w:t>
      </w:r>
    </w:p>
    <w:p>
      <w:pPr>
        <w:ind w:left="640" w:right="29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Shoun took a temporary unpaid leave of absence beginning November 16, 2024. The base salary amount represents the pro-rated portion of his base salary ($282,400) for the period from January 1, 2024 through November 15, 2024.</w:t>
      </w: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Schaffner voluntarily deferred a portion of his base salary in 2024, which was repaid in full in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Aydelott was not a named executive for 2023 and ceased serving as our Chief Financial Officer as of December 31, 2024.</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In 2023, the annual base salary for each of Messrs. Shoun and Schaffner was $270,400. In 2024, the annual base salary for each of Messrs. Shoun and Schaffner was $282,400, and for Mr. Aydelott was $192,000. In 2025, the annual base salary for each of Messrs. Shoun and Schaffner is $271,150. Each of Messrs. Shoun and Schaffner reduced their salary by $11,250 in connection with the appointment of Mr. Heagen to Chief Operating Officer to make Mr. Heagen’s salary increase cash flow neutral for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Historical Bonuses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2023, each of our named executive officers received discretionary bonuses comprised of a combination of cash payments and RSUs. In 2024, each of our named executive officers voluntarily declined executive bonuses.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2025 Employee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April 9, 2025, our Compensation Committee approved the 2025 Employee Incentive Plan (the “2025 Plan”), which is applicable to our executive officers and employees. The 2025 Plan provides, among other things, for the payment of cash incentive bonuses (“Cash Bonuses”) to our named executive officers based upon the achievement of pre-determined performance milestones selected by our Compensation Committee that are aligned with our strategic objectives and intended to create long-term value for stockholders. Cash Bonuses will be calculated by reference to the base salary amount set forth in each named executive officer’s respective employment agreement, and will be accrued as relevant performance milestones are achieved, provided we have met a minimum cash balance target as of the relevant payment date, as determined by our Compensation Committee. The named executive officers may elect to be issued RSUs pursuant to our 2021 Plan in lieu of receiving Cash Bonuses, subject to availability of reserved shares under the plan.</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offer equity awards to our employees, including our named executive officers. New equity awards are made pursuant to our 2021 Plan, which has been approved by our Board and stockholders. We believe that equity awards are necessary to remain competitive in our industry and enhance our ability to attract, retain and motivate persons who make, or we believe can make, important contributions by providing these individuals with equity ownership opportunities and/or equity-linked compensatory opportunities.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stock options granted to our named executive officers during 2023 are described in the table below.</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Aggregate</w:t>
            </w:r>
          </w:p>
        </w:tc>
        <w:tc>
          <w:tcPr>
            <w:tcW w:w="0" w:type="dxa"/>
            <w:vAlign w:val="bottom"/>
          </w:tcPr>
          <w:p>
            <w:pPr>
              <w:spacing w:after="0"/>
              <w:rPr>
                <w:sz w:val="1"/>
                <w:szCs w:val="1"/>
                <w:color w:val="auto"/>
              </w:rPr>
            </w:pPr>
          </w:p>
        </w:tc>
      </w:tr>
      <w:tr>
        <w:trPr>
          <w:trHeight w:val="148"/>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23"/>
        </w:trPr>
        <w:tc>
          <w:tcPr>
            <w:tcW w:w="7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Shoun</w:t>
            </w:r>
          </w:p>
        </w:tc>
        <w:tc>
          <w:tcPr>
            <w:tcW w:w="1280" w:type="dxa"/>
            <w:vAlign w:val="bottom"/>
            <w:gridSpan w:val="2"/>
            <w:shd w:val="clear" w:color="auto" w:fill="CCEEFF"/>
          </w:tcPr>
          <w:p>
            <w:pPr>
              <w:jc w:val="right"/>
              <w:ind w:right="108"/>
              <w:spacing w:after="0" w:line="291" w:lineRule="exact"/>
              <w:rPr>
                <w:sz w:val="20"/>
                <w:szCs w:val="20"/>
                <w:color w:val="auto"/>
              </w:rPr>
            </w:pPr>
            <w:r>
              <w:rPr>
                <w:rFonts w:ascii="Times New Roman" w:cs="Times New Roman" w:eastAsia="Times New Roman" w:hAnsi="Times New Roman"/>
                <w:sz w:val="18"/>
                <w:szCs w:val="18"/>
                <w:color w:val="auto"/>
              </w:rPr>
              <w:t>500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8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1280" w:type="dxa"/>
            <w:vAlign w:val="bottom"/>
            <w:gridSpan w:val="2"/>
          </w:tcPr>
          <w:p>
            <w:pPr>
              <w:jc w:val="right"/>
              <w:ind w:right="108"/>
              <w:spacing w:after="0" w:line="284" w:lineRule="exact"/>
              <w:rPr>
                <w:sz w:val="20"/>
                <w:szCs w:val="20"/>
                <w:color w:val="auto"/>
              </w:rPr>
            </w:pPr>
            <w:r>
              <w:rPr>
                <w:rFonts w:ascii="Times New Roman" w:cs="Times New Roman" w:eastAsia="Times New Roman" w:hAnsi="Times New Roman"/>
                <w:sz w:val="18"/>
                <w:szCs w:val="18"/>
                <w:color w:val="auto"/>
              </w:rPr>
              <w:t>500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Aydelott</w:t>
            </w:r>
          </w:p>
        </w:tc>
        <w:tc>
          <w:tcPr>
            <w:tcW w:w="1280" w:type="dxa"/>
            <w:vAlign w:val="bottom"/>
            <w:gridSpan w:val="2"/>
            <w:shd w:val="clear" w:color="auto" w:fill="CCEEFF"/>
          </w:tcPr>
          <w:p>
            <w:pPr>
              <w:jc w:val="right"/>
              <w:ind w:right="108"/>
              <w:spacing w:after="0" w:line="270" w:lineRule="exact"/>
              <w:rPr>
                <w:sz w:val="20"/>
                <w:szCs w:val="20"/>
                <w:color w:val="auto"/>
              </w:rPr>
            </w:pPr>
            <w:r>
              <w:rPr>
                <w:rFonts w:ascii="Times New Roman" w:cs="Times New Roman" w:eastAsia="Times New Roman" w:hAnsi="Times New Roman"/>
                <w:sz w:val="18"/>
                <w:szCs w:val="18"/>
                <w:color w:val="auto"/>
              </w:rPr>
              <w:t>500</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54"/>
        </w:trPr>
        <w:tc>
          <w:tcPr>
            <w:tcW w:w="71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29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stock options to purchase up to 500 shares of our Common Stock at an exercise price of $492 per share, which vest and become exercisable in 12 equal quarterly installments through June 30, 2026, subject to continued service through each vesting date.</w:t>
      </w:r>
    </w:p>
    <w:p>
      <w:pPr>
        <w:jc w:val="both"/>
        <w:ind w:left="640" w:right="299" w:hanging="348"/>
        <w:spacing w:after="0" w:line="236"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Aydelott received stock options to purchase up to 500 shares of our Common Stock at an exercise price of $492 per share, which were initially subject to vesting in 12 equal quarterly installments through June 30, 2026. Mr. Aydelott ceased serving as our Chief Financial Officer as of December 31, 2024. As of that date, stock options underlying 250 shares of our Common Stock had vested, and no additional shares will vest.</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RSUs granted to our named executive officers during 2024 are described in the table below.</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Aggregate</w:t>
            </w:r>
          </w:p>
        </w:tc>
        <w:tc>
          <w:tcPr>
            <w:tcW w:w="0" w:type="dxa"/>
            <w:vAlign w:val="bottom"/>
          </w:tcPr>
          <w:p>
            <w:pPr>
              <w:spacing w:after="0"/>
              <w:rPr>
                <w:sz w:val="1"/>
                <w:szCs w:val="1"/>
                <w:color w:val="auto"/>
              </w:rPr>
            </w:pPr>
          </w:p>
        </w:tc>
      </w:tr>
      <w:tr>
        <w:trPr>
          <w:trHeight w:val="148"/>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0" w:type="dxa"/>
            <w:vAlign w:val="bottom"/>
          </w:tcPr>
          <w:p>
            <w:pPr>
              <w:spacing w:after="0"/>
              <w:rPr>
                <w:sz w:val="1"/>
                <w:szCs w:val="1"/>
                <w:color w:val="auto"/>
              </w:rPr>
            </w:pPr>
          </w:p>
        </w:tc>
      </w:tr>
      <w:tr>
        <w:trPr>
          <w:trHeight w:val="23"/>
        </w:trPr>
        <w:tc>
          <w:tcPr>
            <w:tcW w:w="7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Shoun</w:t>
            </w:r>
          </w:p>
        </w:tc>
        <w:tc>
          <w:tcPr>
            <w:tcW w:w="13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13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Aydelott</w:t>
            </w:r>
          </w:p>
        </w:tc>
        <w:tc>
          <w:tcPr>
            <w:tcW w:w="13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54"/>
        </w:trPr>
        <w:tc>
          <w:tcPr>
            <w:tcW w:w="7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Substantially all employees are eligible to participate. We have the option to make profit sharing contributions to our 401(k) plan at our discretion. No profit-sharing contributions have yet been made. The Code allows eligible employees to defer a portion of their compensation, within prescribed limits, on a pre-tax</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basis through contributions to our 401(k) plan.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Health/Welfare Plans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which include medical and vision benefits. Our named executive officers are eligible to participate in our employee health and welfare plans on the same basis as all of our other employees.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2023, our named executive officers received an allowance for automobile expenses and home office expenses.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 of our named executive officers received perquisites for 2024.</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personal income taxes that may pertain to any of the compensation or perquisites paid or provided to our named executive officers.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vMerge w:val="restart"/>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9"/>
              </w:rPr>
              <w:t>Exercisable</w:t>
            </w:r>
            <w:r>
              <w:rPr>
                <w:rFonts w:ascii="Times New Roman" w:cs="Times New Roman" w:eastAsia="Times New Roman" w:hAnsi="Times New Roman"/>
                <w:sz w:val="22"/>
                <w:szCs w:val="22"/>
                <w:b w:val="1"/>
                <w:bCs w:val="1"/>
                <w:color w:val="auto"/>
                <w:w w:val="99"/>
                <w:vertAlign w:val="superscript"/>
              </w:rPr>
              <w:t>(1)</w:t>
            </w: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51"/>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80" w:type="dxa"/>
            <w:vAlign w:val="bottom"/>
            <w:gridSpan w:val="2"/>
          </w:tcPr>
          <w:p>
            <w:pPr>
              <w:jc w:val="right"/>
              <w:ind w:right="348"/>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3"/>
                <w:szCs w:val="13"/>
                <w:color w:val="auto"/>
              </w:rPr>
            </w:pPr>
          </w:p>
        </w:tc>
        <w:tc>
          <w:tcPr>
            <w:tcW w:w="8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3"/>
                <w:szCs w:val="13"/>
                <w:color w:val="auto"/>
              </w:rPr>
            </w:pPr>
          </w:p>
        </w:tc>
        <w:tc>
          <w:tcPr>
            <w:tcW w:w="8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Shoun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5/2/2022</w:t>
            </w:r>
          </w:p>
        </w:tc>
        <w:tc>
          <w:tcPr>
            <w:tcW w:w="10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336.00</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5/2/2032</w:t>
            </w: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8/23/2023</w:t>
            </w: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250</w:t>
            </w:r>
          </w:p>
        </w:tc>
        <w:tc>
          <w:tcPr>
            <w:tcW w:w="96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6"/>
              </w:rPr>
              <w:t>250</w:t>
            </w: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492.00</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8/23/2033</w:t>
            </w:r>
          </w:p>
        </w:tc>
        <w:tc>
          <w:tcPr>
            <w:tcW w:w="0" w:type="dxa"/>
            <w:vAlign w:val="bottom"/>
          </w:tcPr>
          <w:p>
            <w:pPr>
              <w:spacing w:after="0"/>
              <w:rPr>
                <w:sz w:val="1"/>
                <w:szCs w:val="1"/>
                <w:color w:val="auto"/>
              </w:rPr>
            </w:pP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5/2/2022</w:t>
            </w:r>
          </w:p>
        </w:tc>
        <w:tc>
          <w:tcPr>
            <w:tcW w:w="10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336.00</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5/2/2032</w:t>
            </w: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8/23/2023</w:t>
            </w: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250</w:t>
            </w:r>
          </w:p>
        </w:tc>
        <w:tc>
          <w:tcPr>
            <w:tcW w:w="96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6"/>
              </w:rPr>
              <w:t>250</w:t>
            </w: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492.00</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8/23/2033</w:t>
            </w:r>
          </w:p>
        </w:tc>
        <w:tc>
          <w:tcPr>
            <w:tcW w:w="0" w:type="dxa"/>
            <w:vAlign w:val="bottom"/>
          </w:tcPr>
          <w:p>
            <w:pPr>
              <w:spacing w:after="0"/>
              <w:rPr>
                <w:sz w:val="1"/>
                <w:szCs w:val="1"/>
                <w:color w:val="auto"/>
              </w:rPr>
            </w:pP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Aydelott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5/2/2022</w:t>
            </w:r>
          </w:p>
        </w:tc>
        <w:tc>
          <w:tcPr>
            <w:tcW w:w="10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336.00</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5/2/2032</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8/23/2023</w:t>
            </w: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492.00</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8/23/2033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3" w:lineRule="exact"/>
        <w:rPr>
          <w:sz w:val="20"/>
          <w:szCs w:val="20"/>
          <w:color w:val="auto"/>
        </w:rPr>
      </w:pPr>
    </w:p>
    <w:p>
      <w:pPr>
        <w:ind w:left="640" w:hanging="34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each of the awards were vested and exercisable immediately upon the grant date.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stock options granted in 2022 and 2023 are incentive stock options (“ISOs”).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Arrangements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Initial Employment Agreements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November 15, 2021, we entered into an employment agreement with our Chief Operating Officer, Mr. Shoun; on February 21, 2022, we entered into an employment agreement with our then-Chief Financial Officer, Mr. Schaffner, and on May 10, 2022, we entered into an employment agreement with our then-Chief Accounting Officer, Mr. Aydelott (together, the “Initial Employment Agreements”) to reflect their compensation arrangements. The Initial Employment Agreement entered into with Mr. Shoun had a term of employment with a three-year duration, while the Initial Employment Agreements entered into with Messrs. Schaffner and Aydelott had an employment term with a one-year duration. Under the terms of the Initial Employment Agreements, Mr. Shoun was entitled to a base salary of $260,000, Mr. Schaffner was entitled to a base salary of $120,000, and Mr. Aydelott was entitled to a base salary of $108,000. Each executive officer was also eligible for an annual bonus, to be granted by our Board or Compensation Committee based on performance objectives and targets established annually. Under the Initial Employment Agreements, Messrs. Shoun, Schaffner and Aydelott were also entitled to participate in the plan and in any profit sharing, qualified and nonqualified retirement plans and any health, life, accident, disability insurance, vacation, paid time off, supplemental medical reimbursement insurance, or benefit plans or programs as we may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choose to make available at any point in time. Under the Initial Employment Agreements, the executive officers were also entitled to annual fringe benefits and perquisites (including automobile expense, security and reimbursement for the executive officer’s home office) and reimbursement for reasonable and necessary out-of-pocket business, entertainment, and travel expenses incurred in connection with the performance of their duties (although reimbursement for automobile, security and home office expenses has since been terminated). In addition, the employment agreements contain provisions providing for severance payments, including both base salary payment throughout the remainder of the executive’s term of employment, and a payment equal to an additional 12 months of base salary, an amount equal to the executive annual bonus measured at target rate of performance, and continuation of benefits under certain circumstances including termination by us without Cause or for Good Reason (each as defined in the Initial Employment Agreements), upon execution of a general release of claims in our favor. The Initial Employment Agreements included restrictive covenants, including a two-year non-competition provision, a two-year non-solicitation and non-disparagement provision and a confidentiality provision.</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Amended and Restated Shoun Employment Agreement</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January 26, 2023, we promoted Mr. Shoun, our Co-Founder, from his position as Chief Operating Officer to President and Chief Operating Officer. In connection with his new role, we entered into an Amended and Restated Employment Agreement with Mr. Shoun, effective January 26, 2023 (the “Shoun Employment Agreement”), setting forth the terms and conditions of Mr. Shoun’s employment.</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Shoun Employment Agreement provides for a three-year term that ended on April 1, 2025, the third anniversary of our initial public offering, which term renews automatically unless terminated by the Company or Mr. Shoun. Pursuant to the Shoun Employment Agreement, the Company will pay Mr. Shoun a base salary of $270,400 per year, increased from $260,000. Like the Initial Employment Agreement to which Mr. Shoun is a party, the Shoun Employment Agreement provides for an annual bonus award based on the achievement of performance objectives and targets established annually by our Board or Compensation Committee, and standard employee benefits. Upon a termination of the Shoun Employment Agreement by the Company without Cause or a resignation for Good Reason (each term as defined in the Shoun Employment Agreement), Mr. Shoun will be paid (a) his continued base salary for one year, (b) an amount equal to his annual target bonus for the year of termination, (c) any earned but unpaid bonuses, and (d) continued medical and dental benefits for up to one year. The Shoun Employment Agreement generally provides for the same employee benefits as under the Initial Employment Agreement to which Mr. Shoun is a party (although reimbursement for automobile, security, and home office expenses has since been terminated). The restrictive covenants in the Initial Employment Agreement to which Mr. Shoun is a party continue to apply.</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Amended and Restated Schaffner Employment Agreement</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January 26, 2023, we promoted Mr. Schaffner from his position as our Chief Financial Officer to our Chief Executive Officer. In connection with his new role, we entered into an Amended and Restated Employment Agreement with Mr. Schaffner, effective January 26, 2023 (the “Schaffner Employment Agreement”), setting forth the terms and conditions of Mr. Schaffner’s employment.</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Schaffner Employment Agreement provides for a one-year term that ended on April 1, 2023, the first anniversary of our initial public offering, which term renews automatically unless terminated by the Company or Mr. Schaffner. Pursuant to the Schaffner Employment Agreement, the Company will pay Mr. Schaffner a base salary of $270,400 per year. The Schaffner Employment Agreement provides for an annual bonus award based on the achievement of performance objectives and targets established annually by our Board or Compensation Committee, and standard employee benefits. Upon a termination of Mr. Schaffner’s employment agreement by the Company without Cause or a resignation for Good Reason (each term as defined in the Schaffner Employment Agreement), Mr. Schaffner will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 The Schaffner Employment Agreement generally provides for the same employee benefits as under Mr. Schaffner’s original employment agreement (although reimbursement for automobile, security, and home office expenses has since terminated). The restrictive covenants in the Initial Employment Agreement to which Mr. Schaffner is a party continue to apply.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Amended and Restated Aydelott Employment Agreement</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January 26, 2023, we promoted Greg Aydelott from his position as Chief Accounting Officer to Chief Financial Officer. In connection with his new role, we entered into an Amended and Restated Employment Agreement with Mr. Aydelott, effective January 26, 2023 (the “Aydelott Employment Agreement”), setting forth the terms and conditions of Mr. Aydelott’s employment.</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Aydelott Employment Agreement terminated on December 31, 2024 when Mr. Aydelott ceased serving as our Chief Financial Officer. The restrictive covenants in the Initial Employment Agreement to which Mr. Aydelott is a party and the Aydelott Employment Agreement will continue to apply.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Grant Policies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do not have any formal policy or practices that requires us to grant, or avoid granting, equity awards at particular times. Equity awards are discretionary and are periodically granted to our named executive officers upon approval of our Compensation Committee.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schedule the grant of our equity awards in anticipation of the release of material nonpublic information (“MNPI”), nor do we time the release of MNPI based on actual or anticipated equity grant dates. Furthermore, we do not time the disclosure of MNPI for the purpose of affecting the value of executive compensation.</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Compensation Committee did not grant any stock options to our named executive officers during 2024. Our Compensation Committee did not take MNPI into account when determining the timing and terms of any equity awards granted during 2024.</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During 2024, no grants were made to any of our named executive officers in the period beginning four business days before (i) the filing of a Form 10-Q or Form 10-K, or (ii) the filing or furnishing of a Form 8-K that discloses MNPI, and ending one business day after the filing or furnishing of any such report.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Under our non-employee director compensation program, each non-employee director receives an annual director fee of $50,000 paid in cash for their service on our Board.</w:t>
      </w:r>
    </w:p>
    <w:p>
      <w:pPr>
        <w:jc w:val="both"/>
        <w:ind w:left="300" w:right="299"/>
        <w:spacing w:after="0" w:line="260" w:lineRule="auto"/>
        <w:rPr>
          <w:sz w:val="20"/>
          <w:szCs w:val="20"/>
          <w:color w:val="auto"/>
        </w:rPr>
      </w:pPr>
      <w:r>
        <w:rPr>
          <w:rFonts w:ascii="Times New Roman" w:cs="Times New Roman" w:eastAsia="Times New Roman" w:hAnsi="Times New Roman"/>
          <w:sz w:val="18"/>
          <w:szCs w:val="18"/>
          <w:color w:val="auto"/>
        </w:rPr>
        <w:t>In addition, if the director serves as the chair of a committee of our Board, the director will receive additional annual fees paid in cash as follows:</w:t>
      </w:r>
    </w:p>
    <w:p>
      <w:pPr>
        <w:spacing w:after="0" w:line="73"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our Audit Committee, $20,000;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our Compensation Committee, $15,000;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Governance Committee, $10,000.</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No additional fees are paid for service as a member of any committee of our Board, nor are fees paid for attendance at Board or committee meetings.</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Director fees are payable in quarterly installments on the first business day of each calendar quarter and prorated for any portion of a quarter that a director is not serving as a non-employee director or a Chair of a committee of our Board. Directors are also reimbursed for any reasonable Board-related expenses.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Mr. Shoun, our President, and Mr. Schaffner, our Chief Executive Officer and Interim Chief Financial Officer, served on our Board during 2024, but have not been included in the 2024 Director Compensation Table below because they did not receive any additional compensation for their service on our Board. Information regarding their compensation paid in 2024 is included in the Summary Compensation Table, the Outstanding Equity Awards at Fiscal Year-End Table, and the associated narrative disclosures.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compensation paid to our non-employee directors during 2024. The amounts set forth in the table have been calculated in accordance with the requirements of applicable SEC rules, and do not necessarily reflect the amounts that have actually been paid to, or which may be realized by, our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tbl>
      <w:tblPr>
        <w:tblLayout w:type="fixed"/>
        <w:tblInd w:w="300" w:type="dxa"/>
        <w:tblCellMar>
          <w:top w:w="0" w:type="dxa"/>
          <w:left w:w="0" w:type="dxa"/>
          <w:bottom w:w="0" w:type="dxa"/>
          <w:right w:w="0" w:type="dxa"/>
        </w:tblCellMar>
      </w:tblPr>
      <w:tr>
        <w:trPr>
          <w:trHeight w:val="161"/>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540" w:type="dxa"/>
            <w:vAlign w:val="bottom"/>
            <w:tcBorders>
              <w:top w:val="single" w:sz="8" w:color="0000EE"/>
            </w:tcBorders>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40" w:type="dxa"/>
            <w:vAlign w:val="bottom"/>
          </w:tcPr>
          <w:p>
            <w:pPr>
              <w:spacing w:after="0"/>
              <w:rPr>
                <w:sz w:val="24"/>
                <w:szCs w:val="24"/>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80" w:type="dxa"/>
            <w:vAlign w:val="bottom"/>
            <w:gridSpan w:val="2"/>
            <w:vMerge w:val="continue"/>
          </w:tcPr>
          <w:p>
            <w:pPr>
              <w:spacing w:after="0"/>
              <w:rPr>
                <w:sz w:val="16"/>
                <w:szCs w:val="16"/>
                <w:color w:val="auto"/>
              </w:rPr>
            </w:pPr>
          </w:p>
        </w:tc>
        <w:tc>
          <w:tcPr>
            <w:tcW w:w="120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Lefevre</w:t>
            </w:r>
          </w:p>
        </w:tc>
        <w:tc>
          <w:tcPr>
            <w:tcW w:w="120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60,000</w:t>
            </w:r>
          </w:p>
        </w:tc>
        <w:tc>
          <w:tcPr>
            <w:tcW w:w="74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Tien Q. Nguyen</w:t>
            </w:r>
          </w:p>
        </w:tc>
        <w:tc>
          <w:tcPr>
            <w:tcW w:w="120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rPr>
              <w:t>65,000</w:t>
            </w:r>
          </w:p>
        </w:tc>
        <w:tc>
          <w:tcPr>
            <w:tcW w:w="74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34"/>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 Shum</w:t>
            </w:r>
          </w:p>
        </w:tc>
        <w:tc>
          <w:tcPr>
            <w:tcW w:w="120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70,000</w:t>
            </w:r>
          </w:p>
        </w:tc>
        <w:tc>
          <w:tcPr>
            <w:tcW w:w="74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49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Awards Held by Directors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number of stock options held as of December 31, 2024 by each non-employee director who served during the year ended December 31, 2024.</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George Lefevre</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Tien Q. Nguyen</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Steven M. Shum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-120650</wp:posOffset>
            </wp:positionV>
            <wp:extent cx="534924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Stock Options</w:t>
      </w:r>
    </w:p>
    <w:p>
      <w:pPr>
        <w:ind w:left="20"/>
        <w:spacing w:after="0" w:line="229" w:lineRule="auto"/>
        <w:rPr>
          <w:sz w:val="20"/>
          <w:szCs w:val="20"/>
          <w:color w:val="auto"/>
        </w:rPr>
      </w:pPr>
      <w:r>
        <w:rPr>
          <w:rFonts w:ascii="Times New Roman" w:cs="Times New Roman" w:eastAsia="Times New Roman" w:hAnsi="Times New Roman"/>
          <w:sz w:val="14"/>
          <w:szCs w:val="14"/>
          <w:b w:val="1"/>
          <w:bCs w:val="1"/>
          <w:color w:val="auto"/>
        </w:rPr>
        <w:t>Outstanding at</w:t>
      </w:r>
    </w:p>
    <w:p>
      <w:pPr>
        <w:spacing w:after="0"/>
        <w:rPr>
          <w:sz w:val="20"/>
          <w:szCs w:val="20"/>
          <w:color w:val="auto"/>
        </w:rPr>
      </w:pPr>
      <w:r>
        <w:rPr>
          <w:rFonts w:ascii="Times New Roman" w:cs="Times New Roman" w:eastAsia="Times New Roman" w:hAnsi="Times New Roman"/>
          <w:sz w:val="14"/>
          <w:szCs w:val="14"/>
          <w:b w:val="1"/>
          <w:bCs w:val="1"/>
          <w:color w:val="auto"/>
        </w:rPr>
        <w:t>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634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300</w:t>
      </w:r>
    </w:p>
    <w:p>
      <w:pPr>
        <w:spacing w:after="0" w:line="36"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400</w:t>
      </w:r>
    </w:p>
    <w:p>
      <w:pPr>
        <w:spacing w:after="0" w:line="200" w:lineRule="exact"/>
        <w:rPr>
          <w:sz w:val="20"/>
          <w:szCs w:val="20"/>
          <w:color w:val="auto"/>
        </w:rPr>
      </w:pPr>
    </w:p>
    <w:p>
      <w:pPr>
        <w:sectPr>
          <w:pgSz w:w="11900" w:h="16838" w:orient="portrait"/>
          <w:cols w:equalWidth="0" w:num="2">
            <w:col w:w="7000" w:space="720"/>
            <w:col w:w="1299"/>
          </w:cols>
          <w:pgMar w:left="1440" w:top="114" w:right="1440" w:bottom="1440" w:gutter="0" w:footer="0" w:header="0"/>
          <w:type w:val="continuous"/>
        </w:sectPr>
      </w:pP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2025 Director Equity Compensation Program</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April 2025, our Board approved grants to each of our non-employee directors consisting of 5,000 RSUs and stock options to purchase up to 5,000 shares of our Common Stock under our 2021 Plan. The equity grants are contingent upon stockholder approval of Proposal No. 3 included in this Proxy Statement, authorization to increase the number of shares of Common Stock available for issuance under our 2021 Plan.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Ownership of Equity Securities of the Company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conjunction with our initial public offering, we adopted our 2021 Plan and 2021 ESPP. The following table summarizes equity compensation plan information for our 2021 Plan and 2021 ESPP, which were both approved by stockholders, as a group, as of December 31, 2024:</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w:t>
            </w:r>
          </w:p>
        </w:tc>
        <w:tc>
          <w:tcPr>
            <w:tcW w:w="160" w:type="dxa"/>
            <w:vAlign w:val="bottom"/>
          </w:tcPr>
          <w:p>
            <w:pPr>
              <w:spacing w:after="0"/>
              <w:rPr>
                <w:sz w:val="16"/>
                <w:szCs w:val="16"/>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6"/>
                <w:szCs w:val="16"/>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16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16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28"/>
        </w:trPr>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1"/>
                <w:szCs w:val="11"/>
                <w:color w:val="auto"/>
              </w:rPr>
            </w:pPr>
          </w:p>
        </w:tc>
        <w:tc>
          <w:tcPr>
            <w:tcW w:w="82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5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tcPr>
          <w:p>
            <w:pPr>
              <w:spacing w:after="0"/>
              <w:rPr>
                <w:sz w:val="13"/>
                <w:szCs w:val="13"/>
                <w:color w:val="auto"/>
              </w:rPr>
            </w:pPr>
          </w:p>
        </w:tc>
        <w:tc>
          <w:tcPr>
            <w:tcW w:w="780" w:type="dxa"/>
            <w:vAlign w:val="bottom"/>
            <w:gridSpan w:val="3"/>
          </w:tcPr>
          <w:p>
            <w:pPr>
              <w:jc w:val="center"/>
              <w:ind w:right="40"/>
              <w:spacing w:after="0" w:line="151" w:lineRule="exact"/>
              <w:rPr>
                <w:sz w:val="20"/>
                <w:szCs w:val="20"/>
                <w:color w:val="auto"/>
              </w:rPr>
            </w:pPr>
            <w:r>
              <w:rPr>
                <w:rFonts w:ascii="Times New Roman" w:cs="Times New Roman" w:eastAsia="Times New Roman" w:hAnsi="Times New Roman"/>
                <w:sz w:val="11"/>
                <w:szCs w:val="11"/>
                <w:b w:val="1"/>
                <w:bCs w:val="1"/>
                <w:color w:val="auto"/>
              </w:rPr>
              <w:t>Options</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3"/>
                <w:szCs w:val="13"/>
                <w:color w:val="auto"/>
              </w:rPr>
            </w:pPr>
          </w:p>
        </w:tc>
        <w:tc>
          <w:tcPr>
            <w:tcW w:w="900" w:type="dxa"/>
            <w:vAlign w:val="bottom"/>
            <w:gridSpan w:val="3"/>
          </w:tcPr>
          <w:p>
            <w:pPr>
              <w:jc w:val="center"/>
              <w:ind w:right="40"/>
              <w:spacing w:after="0" w:line="151"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3"/>
                <w:szCs w:val="13"/>
                <w:color w:val="auto"/>
              </w:rPr>
            </w:pPr>
          </w:p>
        </w:tc>
        <w:tc>
          <w:tcPr>
            <w:tcW w:w="820" w:type="dxa"/>
            <w:vAlign w:val="bottom"/>
            <w:gridSpan w:val="3"/>
          </w:tcPr>
          <w:p>
            <w:pPr>
              <w:jc w:val="center"/>
              <w:ind w:right="40"/>
              <w:spacing w:after="0" w:line="151" w:lineRule="exact"/>
              <w:rPr>
                <w:sz w:val="20"/>
                <w:szCs w:val="20"/>
                <w:color w:val="auto"/>
              </w:rPr>
            </w:pPr>
            <w:r>
              <w:rPr>
                <w:rFonts w:ascii="Times New Roman" w:cs="Times New Roman" w:eastAsia="Times New Roman" w:hAnsi="Times New Roman"/>
                <w:sz w:val="11"/>
                <w:szCs w:val="11"/>
                <w:b w:val="1"/>
                <w:bCs w:val="1"/>
                <w:color w:val="auto"/>
              </w:rPr>
              <w:t>Issuance</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190"/>
        </w:trPr>
        <w:tc>
          <w:tcPr>
            <w:tcW w:w="5440" w:type="dxa"/>
            <w:vAlign w:val="bottom"/>
            <w:vMerge w:val="continue"/>
          </w:tcPr>
          <w:p>
            <w:pPr>
              <w:spacing w:after="0"/>
              <w:rPr>
                <w:sz w:val="16"/>
                <w:szCs w:val="16"/>
                <w:color w:val="auto"/>
              </w:rPr>
            </w:pPr>
          </w:p>
        </w:tc>
        <w:tc>
          <w:tcPr>
            <w:tcW w:w="800" w:type="dxa"/>
            <w:vAlign w:val="bottom"/>
            <w:gridSpan w:val="3"/>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840" w:type="dxa"/>
            <w:vAlign w:val="bottom"/>
            <w:gridSpan w:val="3"/>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76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800" w:type="dxa"/>
            <w:vAlign w:val="bottom"/>
            <w:tcBorders>
              <w:right w:val="single" w:sz="8" w:color="CCEEFF"/>
            </w:tcBorders>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rPr>
              <w:t>11,430</w:t>
            </w:r>
          </w:p>
        </w:tc>
        <w:tc>
          <w:tcPr>
            <w:tcW w:w="14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center"/>
              <w:ind w:left="59"/>
              <w:spacing w:after="0"/>
              <w:rPr>
                <w:sz w:val="20"/>
                <w:szCs w:val="20"/>
                <w:color w:val="auto"/>
              </w:rPr>
            </w:pPr>
            <w:r>
              <w:rPr>
                <w:rFonts w:ascii="Times New Roman" w:cs="Times New Roman" w:eastAsia="Times New Roman" w:hAnsi="Times New Roman"/>
                <w:sz w:val="18"/>
                <w:szCs w:val="18"/>
                <w:color w:val="auto"/>
                <w:w w:val="96"/>
              </w:rPr>
              <w:t>372.16</w:t>
            </w:r>
          </w:p>
        </w:tc>
        <w:tc>
          <w:tcPr>
            <w:tcW w:w="760" w:type="dxa"/>
            <w:vAlign w:val="bottom"/>
            <w:gridSpan w:val="3"/>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8"/>
              </w:rPr>
              <w:t>5,879</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2"/>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11,430</w:t>
            </w:r>
          </w:p>
        </w:tc>
        <w:tc>
          <w:tcPr>
            <w:tcW w:w="140" w:type="dxa"/>
            <w:vAlign w:val="bottom"/>
            <w:shd w:val="clear" w:color="auto" w:fill="CCEEFF"/>
          </w:tcPr>
          <w:p>
            <w:pPr>
              <w:spacing w:after="0"/>
              <w:rPr>
                <w:sz w:val="23"/>
                <w:szCs w:val="23"/>
                <w:color w:val="auto"/>
              </w:rPr>
            </w:pPr>
          </w:p>
        </w:tc>
        <w:tc>
          <w:tcPr>
            <w:tcW w:w="340" w:type="dxa"/>
            <w:vAlign w:val="bottom"/>
            <w:gridSpan w:val="2"/>
            <w:shd w:val="clear" w:color="auto" w:fill="CCEEFF"/>
          </w:tcPr>
          <w:p>
            <w:pPr>
              <w:spacing w:after="0"/>
              <w:rPr>
                <w:sz w:val="23"/>
                <w:szCs w:val="23"/>
                <w:color w:val="auto"/>
              </w:rPr>
            </w:pP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372.</w:t>
            </w:r>
            <w:r>
              <w:rPr>
                <w:rFonts w:ascii="Times New Roman" w:cs="Times New Roman" w:eastAsia="Times New Roman" w:hAnsi="Times New Roman"/>
                <w:sz w:val="18"/>
                <w:szCs w:val="18"/>
                <w:u w:val="single" w:color="auto"/>
                <w:color w:val="auto"/>
                <w:w w:val="96"/>
              </w:rPr>
              <w:t>16</w:t>
            </w:r>
          </w:p>
        </w:tc>
        <w:tc>
          <w:tcPr>
            <w:tcW w:w="760" w:type="dxa"/>
            <w:vAlign w:val="bottom"/>
            <w:gridSpan w:val="3"/>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8"/>
              </w:rPr>
              <w:t>5,879</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0"/>
          <w:szCs w:val="20"/>
          <w:color w:val="auto"/>
        </w:rPr>
      </w:pPr>
    </w:p>
    <w:p>
      <w:pPr>
        <w:ind w:left="640" w:right="29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stock appreciation rights (“SARs”) outstanding pursuant to our 2021 Plan. In addition, there are no outstanding warrants to purchase shares of our Common Stock.</w:t>
      </w:r>
    </w:p>
    <w:p>
      <w:pPr>
        <w:jc w:val="both"/>
        <w:ind w:left="640" w:right="299" w:hanging="348"/>
        <w:spacing w:after="0" w:line="236"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shares reserved for issuance under our 2021 Plan and 2021 ESPP less the number of shares reported in the first column. The 2021 Plan contains an “evergreen” provision, such that the number of shares reserved for issuance under the plan automatically increases on an annual basis in an amount equal to (i) 5% of the aggregate number of shares of our Common Stock outstanding as of December 31 of each year, or (ii) a lesser number of shares as determined by our Board.</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the Record Date as to: (1) each person (or group of affiliated persons) who is known by us to beneficially own more than 5% of the outstanding shares of our Common Stock; (2) each of our named executive officers; (3) each of our directors; and (4) all directors and executive officers as a group, as of the Record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believe, based on information provided to us, that all persons named in the table have sole voting and investment power with respect to all shares beneficially owned by them, unless noted otherwise. Unless otherwise indicated, the address of each stockholder listed in the table is c/o Expion360, 2025 SW Deerhound Avenue, Redmond, Oregon 97756.</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and includes any shares as to which a person has sole or shared voting power or investment power with respect to securities. All shares of Common Stock subject to options or warrants exercisable within 60 days of the Record Date,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Subject to the paragraph above and information included in footnotes (1) and (2) to the table below, percentage ownership of outstanding shares is based upon 3,374,468 shares of Common Stock outstanding as of the Record Date.</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22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0" w:type="dxa"/>
            <w:vAlign w:val="bottom"/>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90"/>
        </w:trPr>
        <w:tc>
          <w:tcPr>
            <w:tcW w:w="6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2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0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L1 Capital Global Opportunities Master Fund</w:t>
            </w:r>
            <w:r>
              <w:rPr>
                <w:rFonts w:ascii="Times New Roman" w:cs="Times New Roman" w:eastAsia="Times New Roman" w:hAnsi="Times New Roman"/>
                <w:sz w:val="29"/>
                <w:szCs w:val="29"/>
                <w:color w:val="auto"/>
                <w:vertAlign w:val="superscript"/>
              </w:rPr>
              <w:t>(1)</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374,940</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0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Paul Shoun (Co-Founder, President, and Chairman of our Board)</w:t>
            </w:r>
            <w:r>
              <w:rPr>
                <w:rFonts w:ascii="Times New Roman" w:cs="Times New Roman" w:eastAsia="Times New Roman" w:hAnsi="Times New Roman"/>
                <w:sz w:val="29"/>
                <w:szCs w:val="29"/>
                <w:color w:val="auto"/>
                <w:vertAlign w:val="superscript"/>
              </w:rPr>
              <w:t>(2)</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18,766</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Schaffner (Chief Executive Officer, Interim Chief Financial Officer, and</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06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Director)</w:t>
            </w:r>
            <w:r>
              <w:rPr>
                <w:rFonts w:ascii="Times New Roman" w:cs="Times New Roman" w:eastAsia="Times New Roman" w:hAnsi="Times New Roman"/>
                <w:sz w:val="29"/>
                <w:szCs w:val="29"/>
                <w:color w:val="auto"/>
                <w:vertAlign w:val="superscript"/>
              </w:rPr>
              <w:t>(3)</w:t>
            </w:r>
          </w:p>
        </w:tc>
        <w:tc>
          <w:tcPr>
            <w:tcW w:w="13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16,891</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0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George Lefevre (Independent Director)</w:t>
            </w:r>
            <w:r>
              <w:rPr>
                <w:rFonts w:ascii="Times New Roman" w:cs="Times New Roman" w:eastAsia="Times New Roman" w:hAnsi="Times New Roman"/>
                <w:sz w:val="29"/>
                <w:szCs w:val="29"/>
                <w:color w:val="auto"/>
                <w:vertAlign w:val="superscript"/>
              </w:rPr>
              <w:t>(4)</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422</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Tien Q. Nguyen (Independent Director)</w:t>
            </w:r>
            <w:r>
              <w:rPr>
                <w:rFonts w:ascii="Times New Roman" w:cs="Times New Roman" w:eastAsia="Times New Roman" w:hAnsi="Times New Roman"/>
                <w:sz w:val="29"/>
                <w:szCs w:val="29"/>
                <w:color w:val="auto"/>
                <w:vertAlign w:val="superscript"/>
              </w:rPr>
              <w:t>(5)</w:t>
            </w:r>
          </w:p>
        </w:tc>
        <w:tc>
          <w:tcPr>
            <w:tcW w:w="13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Steven M. Shum (Independent Director)</w:t>
            </w:r>
            <w:r>
              <w:rPr>
                <w:rFonts w:ascii="Times New Roman" w:cs="Times New Roman" w:eastAsia="Times New Roman" w:hAnsi="Times New Roman"/>
                <w:sz w:val="29"/>
                <w:szCs w:val="29"/>
                <w:color w:val="auto"/>
                <w:vertAlign w:val="superscript"/>
              </w:rPr>
              <w:t>(6)</w:t>
            </w:r>
          </w:p>
        </w:tc>
        <w:tc>
          <w:tcPr>
            <w:tcW w:w="50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(six persons)</w:t>
            </w:r>
            <w:r>
              <w:rPr>
                <w:rFonts w:ascii="Times New Roman" w:cs="Times New Roman" w:eastAsia="Times New Roman" w:hAnsi="Times New Roman"/>
                <w:sz w:val="29"/>
                <w:szCs w:val="29"/>
                <w:b w:val="1"/>
                <w:bCs w:val="1"/>
                <w:color w:val="auto"/>
                <w:vertAlign w:val="superscript"/>
              </w:rPr>
              <w:t>(7)</w:t>
            </w:r>
          </w:p>
        </w:tc>
        <w:tc>
          <w:tcPr>
            <w:tcW w:w="500" w:type="dxa"/>
            <w:vAlign w:val="bottom"/>
            <w:gridSpan w:val="2"/>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52,620</w:t>
            </w:r>
          </w:p>
        </w:tc>
        <w:tc>
          <w:tcPr>
            <w:tcW w:w="280" w:type="dxa"/>
            <w:vAlign w:val="bottom"/>
            <w:shd w:val="clear" w:color="auto" w:fill="CCEEFF"/>
          </w:tcPr>
          <w:p>
            <w:pPr>
              <w:spacing w:after="0"/>
              <w:rPr>
                <w:sz w:val="24"/>
                <w:szCs w:val="24"/>
                <w:color w:val="auto"/>
              </w:rPr>
            </w:pP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54"/>
        </w:trPr>
        <w:tc>
          <w:tcPr>
            <w:tcW w:w="60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jc w:val="both"/>
        <w:ind w:left="640" w:right="299" w:hanging="348"/>
        <w:spacing w:after="0" w:line="227"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are directly held as of February 12, 2025, by L1 Capital Global Opportunities Master Fund (“L1”), and based solely on information provided to us by L1 as of that date. The percentage of outstanding Common Stock held is based on 3,374,468 shares of Common Stock outstanding as of the Record Date. The securities consist of 374,940 shares of Common Stock underlying Series A warrants we issued and sold to the holder in a public offering on August 8, 2024 (the “Series A Warrants”) with an exercise price per share of $5.206. The securities exclude an additional 178,268 shares of Common Stock underlying the Series A Warrants, as well as 524,193 shares of Common Stock underlying warrants to purchase Common Stock we issued and sold to the holder in a private placement on January 3, 2025 (the “Common Warrants”), each of which is subject to a 9.99% beneficial ownership limitation. The securities may be deemed to be beneficially owned by David Feldman and Joel Arber, who exercise investment and voting control over the securities. The address of L1 is 161A Shedden Road, 1 Artillery Court, PO Box 10085, Grand Cayman KY1-1001, Cayman Islands.</w:t>
      </w:r>
    </w:p>
    <w:p>
      <w:pPr>
        <w:spacing w:after="0" w:line="20"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16,432 shares of Common Stock owned directly by Mr. Shoun, and (ii) 2,334 shares of Common Stock which Mr. Shoun has the right to acquire upon the exercise of stock options exercisable within 60 days of the Record Date.</w:t>
      </w:r>
    </w:p>
    <w:p>
      <w:pPr>
        <w:ind w:left="640" w:right="2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15,057 shares of Common Stock owned by Mr. Schaffner, and (ii) 1,834 shares of Common Stock which Mr. Schaffner has the right to acquire upon the exercise of stock options exercisable within 60 days of the Record Date.</w:t>
      </w:r>
    </w:p>
    <w:p>
      <w:pPr>
        <w:ind w:left="640" w:right="2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122 shares of Common Stock owned directly by Mr. Lefevre, and (ii) 300 shares of Common Stock which Mr. Lefevre has the right to acquire upon the exercise of stock options exercisable within 60 days of the Record Date.</w:t>
      </w: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122 shares of Common Stock owned directly by Mr. Nguyen as of the Record Date.</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122 shares of Common Stock owned directly by Mr. Shum, and (ii) 400 shares of Common Stock which Mr. Shum has the right to acquire upon the exercise of stock options exercisable within 60 days of the Record Date.</w:t>
      </w: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directors and current executive officers.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consists of five directors, and each director’s term expires at each annual meeting of stockholders.</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Below is a list of the names, ages, positions, and a brief account of business experience, of the individuals our Board has nominated for re-election at the Annual Meeting:</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20" w:type="dxa"/>
            <w:vAlign w:val="bottom"/>
          </w:tcPr>
          <w:p>
            <w:pPr>
              <w:spacing w:after="0"/>
              <w:rPr>
                <w:sz w:val="13"/>
                <w:szCs w:val="13"/>
                <w:color w:val="auto"/>
              </w:rPr>
            </w:pPr>
          </w:p>
        </w:tc>
        <w:tc>
          <w:tcPr>
            <w:tcW w:w="482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90"/>
        </w:trPr>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Shoun</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Co-Founder, President, and Chairman of our Board</w:t>
            </w:r>
          </w:p>
        </w:tc>
        <w:tc>
          <w:tcPr>
            <w:tcW w:w="0" w:type="dxa"/>
            <w:vAlign w:val="bottom"/>
          </w:tcPr>
          <w:p>
            <w:pPr>
              <w:spacing w:after="0"/>
              <w:rPr>
                <w:sz w:val="1"/>
                <w:szCs w:val="1"/>
                <w:color w:val="auto"/>
              </w:rPr>
            </w:pPr>
          </w:p>
        </w:tc>
      </w:tr>
      <w:tr>
        <w:trPr>
          <w:trHeight w:val="21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c>
          <w:tcPr>
            <w:tcW w:w="0" w:type="dxa"/>
            <w:vAlign w:val="bottom"/>
          </w:tcPr>
          <w:p>
            <w:pPr>
              <w:spacing w:after="0"/>
              <w:rPr>
                <w:sz w:val="1"/>
                <w:szCs w:val="1"/>
                <w:color w:val="auto"/>
              </w:rPr>
            </w:pPr>
          </w:p>
        </w:tc>
      </w:tr>
      <w:tr>
        <w:trPr>
          <w:trHeight w:val="241"/>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Lefevre</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Tien Q. Nguyen</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 Shum</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
        </w:trPr>
        <w:tc>
          <w:tcPr>
            <w:tcW w:w="2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elected at the Annual Meeting, Messrs. Shoun, Schaffner, Lefevre, Nguyen, and Shum would serve until our annual meeting to be held in 2026 (the “2026 Annual Meeting”), or until their respective successors are duly elected and qualified, or until such director’s earlier death, resignation, or removal.</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Pursuant to our Bylaws, only our Board will be able to fill any vacancies on our Board until the next succeeding annual meeting of stockholders. Each director’s term continues until the election and qualification of such director’s successor, or such director’s earlier death, resignation or removal. Between successive annual meetings, our Board has the power to appoint one or more additional directors, but not more than half the number of directors fixed at the last stockholder meeting at which directors were elected.</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Nominees for Election at the Annual Meeting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Set forth below is biographical information for each director nominee and a summary of the specific qualifications, attributes, skills and experiences that led our Board to conclude that each nominee should serve on our Board. Each of our director nominees meet the qualifications and skills as identified by our Board. There are no family relationships among any of our director nominees and our executive officers.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Paul Shoun – Co-Founder, President, and Chairman of our Board</w:t>
      </w:r>
      <w:r>
        <w:rPr>
          <w:rFonts w:ascii="Times New Roman" w:cs="Times New Roman" w:eastAsia="Times New Roman" w:hAnsi="Times New Roman"/>
          <w:sz w:val="18"/>
          <w:szCs w:val="18"/>
          <w:color w:val="auto"/>
        </w:rPr>
        <w:t>. Mr. Shoun is a Co-Founder of our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 served as Chairman of our Board since August 2023 and as President since April 2021. Mr. Shoun previously served as our Chief Operating Officer from April 2021 to April 2025. In addition, he previously served as our Vice President of Operations beginning in March 2020. Before joining the Company, Mr. Shoun worked at Tensility International Corporation (“Tensility”), a custom cable assemblies company, where he served as a Business Development Manager, Project Manager and Manufacturing Manager from October 2014 to March 2020. Prior to joining Tensility, he spent over 17 years as the managing director of a corporate consulting firm. Mr. Shoun brings over 30 years of engineering and corporate management experience, including experience in project management, product development, engineering leadership, business accounting, ERP/CRM system management, and product marketing. His prior notable clients include Chrysler, Boeing, Nike IHM, Intel, and Daimler Trucks North America. We believe Mr. Shoun is qualified to serve on our Board because of his extensive experience in engineering, product development and product marketing and knowledge of our Company and industry.</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Brian Schaffner – Chief Executive Officer, Interim Chief Financial Officer, and Director</w:t>
      </w:r>
      <w:r>
        <w:rPr>
          <w:rFonts w:ascii="Times New Roman" w:cs="Times New Roman" w:eastAsia="Times New Roman" w:hAnsi="Times New Roman"/>
          <w:sz w:val="18"/>
          <w:szCs w:val="18"/>
          <w:color w:val="auto"/>
        </w:rPr>
        <w:t>. Mr. Schaffner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Chief Executive Officer since January 2023, as our Interim Chief Financial Officer since January 2025, and as a member of our Board since August 2023. Mr. Schaffner previously served as our Chief Financial Officer beginning in March 2021. Mr. Schaffner also serves as a Professor of Business and Accounting at Walla Walla University, a position he has held since July 2020, and as a director and member of the Supervisory Committee of Blue Mountain Credit Union since 2022. He previously served as Vice Principal of Finance for Monterey Bay Academy from March 2019 to June 2020, and Vice Principal of Finance for Mount Ellis Academy from July 2015 to February 2018. Mr. Schaffner also served as the Development, Recruiting, Marketing and Alumni Relations Director of Mount Ellis Academy from March 2018 to February 2019. Over the past three decades, he has served in a variety of executive leadership roles in senior-living, assisted-living skilled nursing facilities, retail stores and schools. In addition, his educational instructional experience includes courses at the secondary school and university levels, including accounting, cost accounting, management, personal finance, welding, auto mechanics and aviation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ground school. Mr. Schaffner holds a Bachelor of Science in Business Administration and Accounting from Walla Walla College and a Master of Business Administration from the University of Phoenix. We believe Mr. Schaffner is qualified to serve as a member of our Board because of his executive leadership experience and extensive knowledge of our Company and industry.</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George Lefevre – Independent Director</w:t>
      </w:r>
      <w:r>
        <w:rPr>
          <w:rFonts w:ascii="Times New Roman" w:cs="Times New Roman" w:eastAsia="Times New Roman" w:hAnsi="Times New Roman"/>
          <w:sz w:val="18"/>
          <w:szCs w:val="18"/>
          <w:color w:val="auto"/>
        </w:rPr>
        <w:t>. Mr. Lefevre has served as a member of our Board since March 2022. He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business consultant focused on business development and structural guidance for companies. From 2009 through 2020, Mr. Lefevre was the founder of HAPA Capital, LLC, a consulting firm specializing in biotechnology and frontier technology. From 2014 through 2015, Mr. Lefevre was the Chief Executive Officer of a startup company that completed a change in management effective June 26, 2014, and expanded into the hemp and cannabidiol industry. From 1991 to 1998, Mr. Lefevre directly invested in and managed investment portfolios. He was also the President of GL Investment Group, a regional investment bank in Southern California, where he was directly responsible for providing in excess of $500 million in funding to biotechnology and high-tech companies. Mr. Lefevre holds a Bachelor of Science in Business Administration, majoring in Finance from California State University, Long Beach. We believe Mr. Lefevre is qualified to serve on our Board because of his leadership experience and extensive investment experience.</w:t>
      </w:r>
    </w:p>
    <w:p>
      <w:pPr>
        <w:spacing w:after="0" w:line="7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Tien Q. Nguyen – Independent Director</w:t>
      </w:r>
      <w:r>
        <w:rPr>
          <w:rFonts w:ascii="Times New Roman" w:cs="Times New Roman" w:eastAsia="Times New Roman" w:hAnsi="Times New Roman"/>
          <w:sz w:val="18"/>
          <w:szCs w:val="18"/>
          <w:color w:val="auto"/>
        </w:rPr>
        <w:t>. Mr. Nguyen has served as a member of our Board since August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an entrepreneur and executive with expertise in engineering, technology, wireless systems, and energy storage. Mr. Nguyen has been managing personal and family investments from 2021 until the present. He was a partner in Lumini Partner LLC, which supported and studied international energy industrial projects using microgrid systems to reduce utility dependency, from 2019 to 2020. Mr. Nguyen was the founder of FitTech Software LLC, an artificial intelligence software company in the health and fitness industry, and served as the Chairman from 2016 until 2019. From 2012 to 2016, he served as the Chief Executive Officer of Quantum Energy Storage Corporation, an energy storage company. Previously, Nr. Nguyen served as the Chief Strategy Officer of Onramp Wireless Inc. from 2010 to 2012 and the Chief Executive Officer of AppleTree Educational LLC from 2007 to 2010. Mr. Nguyen was also the founder of CommASIC Inc., a leading wireless semiconductor broadband company, which was acquired by Freescale Semiconductor in 2005. He served as a member of the board of directors of Freescale Semiconductor from 2005 until 2007. Prior to founding CommASIC Inc., Mr. Nguyen served as the Chief Executive Officer of Linskys Consulting from 1997 until 2001. Mr. Nguyen began his career at General Dynamics Corp. (NYSE: GD) and Qualcomm Inc. (Nasdaq: QCOM), where he was focused on ASIC engineering. He holds a Bachelor of Science in Electrical Engineering from San Diego State University. We believe Mr. Nguyen is qualified to serve as a member of our Board because of his experience serving as an executive in various industries and his extensive experience in the energy storage industry.</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M. Shum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Independent Director. </w:t>
      </w:r>
      <w:r>
        <w:rPr>
          <w:rFonts w:ascii="Times New Roman" w:cs="Times New Roman" w:eastAsia="Times New Roman" w:hAnsi="Times New Roman"/>
          <w:sz w:val="18"/>
          <w:szCs w:val="18"/>
          <w:color w:val="auto"/>
        </w:rPr>
        <w:t>Mr. Shum has served as a member of our Board since March 2022.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2019, Mr. Shum has served as the Chief Executive Officer and, since October 2017, as a member of the board of directors, of INVO Fertility, Inc. (Nasdaq: IVF), a healthcare services company focused on fertility treatment. Previously, Mr. Shum served as the Interim Chief Executive Officer from May 2019 to October 2019 and Chief Financial Officer of Eastside Distilling, Inc. (“Eastside”) (Nasdaq: EAST) from October 2015 to August 2019. Prior to joining Eastside, Mr. Shum served as a member of the board of directors of XZERES Corp., a publicly traded global renewable energy company, from October 2008 until April 2015, and held various executive officer roles, including Chief Operating Officer from September 2014 to April 2015, Chief Financial Officer, Principal Accounting Officer and Secretary from April 2010 to September 2014, and Chief Executive Officer and President from October 2008 to August 2010. Mr. Shum currently serves as the Managing Principal of Core Fund Management, LP and the Fund Manager of Core Fund, LP, as well as a member of the board of directors of CalEthos Inc. (OTC: GEDC). He was a founder of Revere Data LLC (acquired by Factset Research Systems, Inc. (NYSE: FDS)) and served as its Executive Vice President, where he led product development efforts and contributed to operations, business development, and sales. He spent six years as an investment research analyst and portfolio manager of D.N.B. Capital Management, Inc. His previous employers include Red Chip Review and Laughlin Group of Companies. He holds a Bachelor of Science in Finance and General Management from Portland State University. We believe Mr. Shum is qualified to serve on our Board because of his extensive experience serving in leadership roles at publicly traded companies.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 Requirements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With respect to this Proposal No. 1, you may vote FOR all director nominees, WITHHOLD your vote as to all director nominees, or FOR all director nominees except those specific nominees from whom you WITHHOLD your vote. The five director nominees receiving the most FOR votes will be elected. A properly executed proxy marked WITHHOLD with respect to the election of one or more director nominees will not be voted with respect to the director or directors indicated.</w:t>
      </w:r>
    </w:p>
    <w:p>
      <w:pPr>
        <w:spacing w:after="0" w:line="98" w:lineRule="exact"/>
        <w:rPr>
          <w:sz w:val="20"/>
          <w:szCs w:val="20"/>
          <w:color w:val="auto"/>
        </w:rPr>
      </w:pPr>
    </w:p>
    <w:p>
      <w:pPr>
        <w:jc w:val="center"/>
        <w:ind w:left="30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EACH OF THE FIVE DIRECTOR NOMINEES NAMED ABOVE.</w:t>
      </w:r>
    </w:p>
    <w:p>
      <w:pPr>
        <w:spacing w:after="0" w:line="87" w:lineRule="exact"/>
        <w:rPr>
          <w:sz w:val="20"/>
          <w:szCs w:val="20"/>
          <w:color w:val="auto"/>
        </w:rPr>
      </w:pPr>
    </w:p>
    <w:p>
      <w:pPr>
        <w:ind w:left="3040" w:right="779" w:hanging="2757"/>
        <w:spacing w:after="0" w:line="286" w:lineRule="auto"/>
        <w:rPr>
          <w:sz w:val="20"/>
          <w:szCs w:val="20"/>
          <w:color w:val="auto"/>
        </w:rPr>
      </w:pPr>
      <w:r>
        <w:rPr>
          <w:rFonts w:ascii="Times New Roman" w:cs="Times New Roman" w:eastAsia="Times New Roman" w:hAnsi="Times New Roman"/>
          <w:sz w:val="18"/>
          <w:szCs w:val="18"/>
          <w:b w:val="1"/>
          <w:bCs w:val="1"/>
          <w:color w:val="auto"/>
        </w:rPr>
        <w:t>PROXIES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THE DIRECTOR NOMINEES UNLESS OTHERWISE SPECIFIED.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PROPOSAL 2 – RATIFICATION OF OUR INDEPENDENT REGISTERED PUBLIC ACCOUNTING FIRM</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Audit Committee has appointed M&amp;K as our independent registered public accounting firm for the year ending December 31, 2025, and our Board has directed that management submit this selection for ratification by the stockholders at the Annual Meeting. M&amp;K served as our independent registered public accounting firm and audited our financial statements for the years ended December 31, 2024 and 2023. Our Audit Committee periodically considers whether there should be a rotation of our independent registered public accounting firm. The members of our Audit Committee believe that the continued retention of M&amp;K as our independent registered public accounting firm is in the best interests of the Company.</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Stockholder ratification of the appointment of M&amp;K as our independent registered public accounting firm is not required. Our Board is submitting the selection of M&amp;K to the stockholders for ratification because we believe it is a matter of good corporate governance practice. If our stockholders fail to ratify the appointment, our Audit Committee will reconsider whether or not to retain M&amp;K, but still may retain them. Even if the appointment is ratified, our Audit Committee, in its discretion, may direct the selection of a different independent registered public accounting firm at any time during the year if our Audit Committee determines that such a change would be in our best interests and that of our stockholders.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Representatives of M&amp;K are expected to attend the Annual Meeting, will have an opportunity to make a statement if they so desire, and will be available to respond to appropriate questions from stockholders. Fees for professional services provided by our independent auditors in each of the last two fiscal years, in each of the following categories, are as follows: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7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6740" w:type="dxa"/>
            <w:vAlign w:val="bottom"/>
          </w:tcPr>
          <w:p>
            <w:pPr>
              <w:spacing w:after="0"/>
              <w:rPr>
                <w:sz w:val="16"/>
                <w:szCs w:val="16"/>
                <w:color w:val="auto"/>
              </w:rPr>
            </w:pP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$122,074</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$ 98,274</w:t>
            </w: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6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0"/>
        </w:trPr>
        <w:tc>
          <w:tcPr>
            <w:tcW w:w="6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122,074</w:t>
            </w:r>
          </w:p>
        </w:tc>
        <w:tc>
          <w:tcPr>
            <w:tcW w:w="220" w:type="dxa"/>
            <w:vAlign w:val="bottom"/>
            <w:tcBorders>
              <w:right w:val="single" w:sz="8" w:color="CCEEFF"/>
            </w:tcBorders>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102,774</w:t>
            </w:r>
          </w:p>
        </w:tc>
      </w:tr>
      <w:tr>
        <w:trPr>
          <w:trHeight w:val="20"/>
        </w:trPr>
        <w:tc>
          <w:tcPr>
            <w:tcW w:w="6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Audit-related fees include fees for assurance and related services that are reasonably related to the performance of the audit or review of our financial statements. There were no audit-related fees for the years ended December 31, 2024 and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Tax fees include fees for tax compliance, tax advice, and tax planning. Tax fees for the fiscal years ended December 31, 2024 and 2023 are incurred for services rendered by M&amp;K.</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There were no fees for services rendered by M&amp;K incurred during the years ended December 31, 2024 and 2023 other than those disclosed above.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 Requirements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Nevada law and our Bylaws, if a quorum is present, this Proposal No. 2 will be approved if the number of votes cast “FOR” the ratification of the appointment of M&amp;K as our independent registered public accounting firm exceeds the number of votes cast “AGAINST” the matter. Abstentions are not considered votes cast and will have no effect on the outcome of Proposal No. 2. Because a bank, broker, dealer, or other nominee may generally vote without instructions on this proposal, we do not expect any broker non-votes in connection with this proposal.</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OUR BOARD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THE RATIFICATION OF THE APPOINTMENT OF OUR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RATIFICATION UNLESS OTHERWISE SPECIFIED.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 Committee is responsible for the appointment of the independent registered public accounting firm for each fiscal year and confirming the independence of the independent registered public accounting firm. It is also responsible for: reviewing and approving the scope of the planned audit, the results of the audit and the independent registered public accounting firm’s compensation for performing such audit; reviewing the Company’s audited financial statements; and reviewing and approving the Company’s internal accounting controls and disclosure procedures.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is responsible for auditing the financial statements. The activities of our Audit Committee are in no way designed to supersede or to alter those traditional responsibilities. Our Audit Committee’s role does not provide any special assurances with regard to the Company’s financial statements, nor does it involve a professional evaluation of the quality of the audits performed by the independent registered public accounting firm.</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connection with the audit of the Company’s financial statements for the year ended December 31, 2024, our Audit Committee met with representatives from M&amp;K, the Company’s independent registered public accounting firm, and the Company’s internal auditors. Our Audit Committee reviewed and discussed with M&amp;K and the Company’s internal auditors, the Company’s financial management and financial structure, as well as the matters relating to the audit required by the Public Company Accounting Oversight Board Auditing Standard and the SEC.</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Audit Committee and M&amp;K also discussed M&amp;K’s independence. Our Audit Committee has received from M&amp;K the written disclosures and the letter regarding M&amp;K’s independence required by Public Company Accounting Oversight Board Rule 3526.</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our Audit Committee reviewed and discussed with management the Company’s audited financial statements for the year ended December 31, 2024, as well as management’s assessment of internal controls over financial reporting.</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described above, our Audit Committee recommended to our Board, and our Board approved, that the Company’s financial statements audited by M&amp;K, as well as management’s assessment of the Company’s internal controls over financial reporting be included in the Company’s Annual Report.</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Steven M. Shum, Chair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George Lefevre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Tien Q. Nguyen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 AMENDMENT OF OUR 2021 INCENTIVE AWARD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believes that granting long-term incentives in the form of equity-based awards is crucial for promoting our long-term financial growth and stability, thereby enhancing stockholder value. We are asking our stockholders to approve an amendment to our 2021 Plan (the “Plan Amendment”) to increase the number of shares of Common Stock authorized for issuance under the plan by 750,000 shares. The Board, upon the recommendation of our Compensation Committee, unanimously approved the Plan Amendment, subject to stockholder approval at the Annual Meeting.</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Plan Amendment is approved, the total number of shares authorized for issuance under our 2021 Plan will increase to an aggregate of 755,741 shares, inclusive of awards previously granted by our Board subject to stockholder approval of this Proposal No. 3. If the Plan Amendment is not approved, our 2021 Plan will remain in effect according to its current terms.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Our 2021 Plan and Rationale For Plan Amendment</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2021 Plan was adopted in connection with our initial public offering and has served as a key component of our ability to attract and retain top talent by aligning the interests of employees, directors, and consultants with those of our stockholders. Our 2021 Plan provides for the issuance of stock options, SARs, restricted stock, RSUs, performance bonus awards, performance stock units, dividend equivalents and other stock- or cash-based awards (each, an “Award”).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There were initially 644,500 shares of Common Stock reserved for issuance under our 2021 Plan, and stockholders approved an additional 250,000 shares of Common Stock to authorize for issuance under the plan at our annual meeting of stockholders held in 2024. In addition, under our 2021 Plan’s “evergreen” provision, the share reserve increases annually by 5% of the outstanding Common Stock as of December 31 of the prior year. The number of shares of Common Stock available under our 2021 Plan will continue to increase in future years through January 31, 2031 pursuant to our 2021 Plan’s evergreen provision.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However, on October 8, 2024, we effected a 1-for-100 reverse stock split of our issued and outstanding Common Stock (the “Reverse Stock Split”). The Reverse Stock Split, which was effected to comply with Nasdaq’s minimum bid price requirement, substantially reduced the number of shares of Common Stock available for issuance under our 2021 Plan. As of June 17, 2025, only 5,741 shares of Common Stock remain available for issuance as new Awards under the plan.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Given our growth trajectory and need to remain competitive in attracting and retaining key talent, this limited remaining reserve is insufficient to support our long-term equity compensation strategy. Equity awards are a central component of our compensation philosophy, and the proposed increase will restore our ability to grant equity awards at meaningful levels. Our Board believes it is in the best interest of our stockholders to seek an increase in the number of shares of our Common Stock authorized for issuance under our 2021 Plan so we can continue to motivate and incentivize eligible recipients, fulfill the objectives of our compensation strategy, and align the interests of plan participants with those of our stockholders.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considering our recommendation to increase the number of shares of our Common Stock authorized for issuance under our 2021 Plan by 750,000 shares, our Board considered a number of factors, including: the number of outstanding shares of our Common Stock; the significant reduction in the trading price and increased volatility of our Common Stock, which has caused the large majority of our outstanding stock options to be “out-of-the-money”; and the need to retain and incentivize our officers and employees. Our Board also took into account certain additional criteria relating to the potential impact of the amendments to our 2021 Plan on our stockholders. For instance, our Board considered the amount of the share increase relative to both the total number of shares of our Common Stock outstanding, as well as our fully diluted shares outstanding.</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light of the foregoing, our Board believes the additional share request to be appropriate and necessary to meet the objectives of our equity compensation program, and to be in the best interest of our stockholders.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this Proposal No. 3 is approved by our stockholders at the Annual Meeting, we intend to register the shares of Common Stock available for issuance under our 2021 Plan on a registration statement on Form S-8 under the Securities Act of 1933, as amended (the “Securities Act”) as soon as reasonably practicable following receipt of approval.</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 copy of the Plan Amendment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Features of Our 2021 Plan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provides a summary of the material features of our 2021 Plan. This summary does not purport to be a complete description of all of the provisions of our 2021 Plan and is qualified in its entirety by the plan document of our 2021 Plan, filed as an exhibit to our Annual Report.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Reserve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counting provisions will be in effect for the share reserve under our 2021 Plan:</w:t>
      </w:r>
    </w:p>
    <w:p>
      <w:pPr>
        <w:spacing w:after="0" w:line="117" w:lineRule="exact"/>
        <w:rPr>
          <w:sz w:val="20"/>
          <w:szCs w:val="20"/>
          <w:color w:val="auto"/>
        </w:rPr>
      </w:pPr>
    </w:p>
    <w:p>
      <w:pPr>
        <w:jc w:val="both"/>
        <w:ind w:left="1000" w:right="319" w:hanging="348"/>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expires, lapses or is terminated, converted into an Award in respect of shares of another entity in connection with a spin-off or other similar event, exchanged for cash, surrendered, repurchased or canceled, in any case, in a manner that results in the Company acquiring the underlying shares at a price not greater than the price paid by the participant or not issuing the underlying shares, such unused shares subject to the award at such time will be available for future grants under our 2021 Plan;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are tendered or withheld to satisfy the grant, exercise price or tax withholding obligation with respect to any Award under our 2021 Plan, such tendered or withheld shares will be available for future grants under our 2021 Plan;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subject to SARs are not issued in connection with the stock settlement of SARs on exercise thereof, such shares will be available for future grants under our 2021 Plan;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 equivalents in cash in conjunction with any outstanding Awards will not be counted against the shares available for issuance under our 2021 Plan;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in assumption of, or in substitution for, any outstanding awards of any entity acquired in any form of combination by us or any of our future subsidiaries will not be counted against the shares available for issuance under our 2021 Plan.</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$1,000,000.</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2021 Plan is currently administered by our Compensation Committee unless our Board assumes authority for administration (the “Plan Administrator”). Our Board may delegate its powers to a committee, which, to the extent required to comply with Rule 16b-3 under the Exchange Act (“Rule 16b-3”), is intended to be comprised of “non-employee directors” for purposes of Rule 16b-3. Our 2021 Plan provides that our Board or Compensation Committee may delegate its authority to grant awards other than to individuals subject to Section 16 of the Exchange Act or to officers or directors to whom authority to grant awards has been delegated.</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our 2021 Plan, the Plan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our 2021 Plan. The Plan Administrator is also authorized to adopt, amend or rescind rules relating to the administration of our 2021 Plan. Our Board may at any time remove our Compensation Committee as the administrator and revest in itself the authority to administer our 2021 Plan.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Awards under our 2021 Plan may be granted to individuals who are then our officers, employees or consultants or are the officers, employees or consultants of certain of our future subsidiaries. Such awards also may be granted to our directors. However, only employees of the Company or certain of the Company’s future subsidiaries may be granted ISOs. As of June 17, 2025, there are approximately three officers, 17 non-officer employees, three consultants, and three directors eligible for participation in the 2021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2021 Plan provides that the Plan Administrator may grant or issue stock options, SARs, restricted stock, RSUs, 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ISOs comply with the provisions of Section 422 of the Code and are subject to specified restrictions contained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our 2021 Plan provides that the exercise price must be at least 110% of the fair market value of a share of Common Stock on the date of grant and the ISO must not be exercisable after a period of five years measured from the date of grant.</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Restricted Stock may be granted to any eligible individual and made subject to such restrictions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determined by the Plan 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stock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75"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RSUs may be awarded to any eligible individual, typically without payment of consideration, but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vesting conditions based on continued employment or service or on performance criteria established by the Plan Administrator. Like restricted stock, RSUs may not be sold, or otherwise transferred or hypothecated, until vesting conditions are removed or expire. Unlike restricted stock, stock underlying RSUs will not be issued until the RSUs have vested, and recipients of RSUs generally will have no voting or dividend rights prior to the time when vesting conditions are satisfied.</w:t>
      </w:r>
    </w:p>
    <w:p>
      <w:pPr>
        <w:spacing w:after="0" w:line="7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SARs may be granted in connection with stock options or other awards, or separately. SARs granted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stock options or other awards typically will provide for payments to the holder based upon increases in the price of our Common Stock over a set exercise price. The exercise price of any SAR granted under our 2021 Plan must be at least 100% of the fair market value of a share of our Common Stock on the date of grant. SARs under our 2021 Plan will be settled in cash or shares of our Common Stock, or in a combination of both, at the election of the Plan Administrator.</w:t>
      </w:r>
    </w:p>
    <w:p>
      <w:pPr>
        <w:spacing w:after="0" w:line="7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Performance Bonus Awards and Performance Stock Units</w:t>
      </w:r>
      <w:r>
        <w:rPr>
          <w:rFonts w:ascii="Times New Roman" w:cs="Times New Roman" w:eastAsia="Times New Roman" w:hAnsi="Times New Roman"/>
          <w:sz w:val="18"/>
          <w:szCs w:val="18"/>
          <w:color w:val="auto"/>
        </w:rPr>
        <w:t>. Performance Bonus Awards and Performance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are denominated in cash or shares/unit equivalents, respectively, and may be linked to one or more performance or other criteria as determined by the Plan Administrator.</w:t>
      </w:r>
    </w:p>
    <w:p>
      <w:pPr>
        <w:spacing w:after="0" w:line="6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Other Stock- or Cash-Based Awards</w:t>
      </w:r>
      <w:r>
        <w:rPr>
          <w:rFonts w:ascii="Times New Roman" w:cs="Times New Roman" w:eastAsia="Times New Roman" w:hAnsi="Times New Roman"/>
          <w:sz w:val="18"/>
          <w:szCs w:val="18"/>
          <w:color w:val="auto"/>
        </w:rPr>
        <w:t>. Other stock- or cash-based awards are awards of cash, fully vested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75"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Dividend equivalents represent the right to receive the equivalent value of dividends paid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our Common Stock and may be granted alone or in tandem with awards other than stock options or SARs. Dividend equivalents are converted to cash or shares by such formula and such time as determined by the Plan Administrator. In addition, dividend equivalents with respect to an award subject to vesting will either (i) to the extent permitted by applicable law, not be paid or credited or (ii) be accumulated and subject to vesting to the same extent as the related award.</w:t>
      </w:r>
    </w:p>
    <w:p>
      <w:pPr>
        <w:spacing w:after="0" w:line="7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Award may be granted as a performance award, meaning that the Award will be subject to vesting and/or payment based on the attainment of specified performance goals.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Adjustments of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Plan Administrator has broad discretion to take action under our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our 2021 Plan and outstanding awards.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our 2021 Plan (other than any portion subject to performance-based vesting) will be subject to accelerated vesting such that 100% of such awards will become vested and exercisable or payable, as applicable. The Plan Administrator may also make appropriate adjustments to awards under our 2021 Plan and is authorized to provide for the acceleration, cash-out, termination, assumption, substitution or conversion of such awards in the event of a change in control or certain other unusual or nonrecurring events or transactions.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Plan Administrator may terminate, amend or modify our 2021 Plan at any time and from time to time. However, we must generally obtain stockholder approval to the extent required by applicable law, rule or regulation (including any applicable stock exchange rule), and generally no amendment may materially and adversely affect any outstanding award without the affected participant’s consent. Notwithstanding the foregoing, an Option may be amended to reduce the per share exercise price below the per share exercise price of such stock option on the grant date and stock options may be granted in exchange for, or in connection with, the cancellation or surrender of stock options having a higher per share exercise price without receiving additional stockholder approval.</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ISOs may be granted pursuant to our 2021 Plan after the tenth anniversary of the effective date of our 2021 Plan, and no additional annual share increases to our 2021 Plan’s aggregate share limit will occur from and after such anniversary. Any award that is outstanding on the termination date of our 2021 Plan will remain in force according to the terms of our 2021 Plan and the applicable award agreement.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general summary as of the date of this Proxy Statement of the United States federal income tax consequences to us and participants in our 2021 Plan. The federal tax laws may change and the federal, state and local tax consequences for any participant will depend upon his or her individual circumstances. Each participant has been, and is, encouraged to seek the advice of a qualified tax advisor regarding the tax consequences of participation in the 2021 Plan.</w:t>
      </w:r>
    </w:p>
    <w:p>
      <w:pPr>
        <w:spacing w:after="0" w:line="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A participant will realize no taxable income, and we will not be entitled to any related deduction, at the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ISO is granted. If certain employment conditions are satisfied, then no taxable income will result upon the exercise of such option, and we will not be entitled to any deduction in connection with the exercise of such stock option. Upon disposition of the shares after expiration of the statutory holding periods, any gain realized by a participant will be taxed as long-term capital gain and any loss sustained will be long-term capital loss, and we will not be entitled to a deduction in respect to such disposition. While no ordinary taxable income is recognized at exercise (unless there is a “disqualifying disposition,” see below), the excess of the fair market value of the shares over the stock option exercise price is a preference item that is recognized for alternative minimum tax purposes. Except in the event of death, if shares acquired by a participant upon the exercise of an incentive stock option are disposed of by such participant before the expiration of the statutory holding periods (i.e., a “disqualifying disposition”), such participant will be considered to have realized as compensation taxed as ordinary income in the year of such disposition an amount, not exceeding the gain realized on such disposition, equal to the difference between the stock option exercise price and the fair market value of such shares on the date of exercise of such stock option. Generally, any gain realized on the disposition in excess of the amount treated as compensation or any loss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realized on the disposition will constitute capital gain or loss, respectively. If a participant makes a “disqualifying disposition,” generally in the fiscal year of such “disqualifying disposition” we will be allowed a deduction for federal income tax purposes in an amount equal to the compensation realized by such participant.</w:t>
      </w:r>
    </w:p>
    <w:p>
      <w:pPr>
        <w:spacing w:after="0" w:line="6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Non-Qualified Stock Options</w:t>
      </w:r>
      <w:r>
        <w:rPr>
          <w:rFonts w:ascii="Times New Roman" w:cs="Times New Roman" w:eastAsia="Times New Roman" w:hAnsi="Times New Roman"/>
          <w:sz w:val="18"/>
          <w:szCs w:val="18"/>
          <w:color w:val="auto"/>
        </w:rPr>
        <w:t>. A participant will realize no taxable income at the time a non-qualified stock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granted under our 2021 Plan, but generally at the time such non-qualified stock option is exercised, the participant will realize ordinary income in an amount equal to the excess of the fair market value of the shares on the date of exercise over the stock option exercise price. Upon a disposition of such shares, the difference between the amount received and the fair market value on the date of exercise will generally be treated as a long-term or short-term capital gain or loss, depending on the holding period of the shares. We will generally be entitled to a deduction for federal income tax purposes at the same time and in the same amount as the participant is considered to have realized ordinary income in connection with the exercise of the non-qualified stock option.</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A participant receiving restricted stock may be taxed in one of two ways: the participant (i) pays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when the restrictions lapse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with respect to the shares as they become vested) or (ii) makes an election under Section 83(b) of the Code to pay tax in the year the grant is made with respect to all of the shares subject to the grant. At either time the value of the award for tax purposes is the excess of the fair market value of the shares at that time over the amount (if any) paid for the shares. This value is taxed as ordinary income and if granted to an employee, is subject to income tax withholding. We receive a tax deduction at the same time and for the same amount taxable to the participant. If a participant makes an election under Section 83(b) of the Code to be taxed at grant, then, when the restrictions lapse, there will be no further tax consequences attributable to the awarded stock until the recipient disposes of the stock, at which point any gain or loss will be short-term or long-term capital gain or loss, depending on the holding period of the stock prior to such disposition.</w:t>
      </w:r>
    </w:p>
    <w:p>
      <w:pPr>
        <w:spacing w:after="0" w:line="7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In general, no taxable income is realized upon the grant of an RSU (which can be settled in cash 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The participant will generally include in ordinary income the fair market value of the award of stock (or cash, if cash settled) at the time shares of stock (or cash, if cash settled) are delivered to the participant or at the time the RSU. We generally will be entitled to a tax deduction at the time and in the amount that the participant recognizes ordinary income.</w:t>
      </w:r>
    </w:p>
    <w:p>
      <w:pPr>
        <w:spacing w:after="0" w:line="7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A grant of a SAR (which can be settled in cash or our Common Stock) has no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consequences at the time of grant. Upon the exercise of SARs, the value received is generally taxable to the recipient as ordinary income, and we generally will be entitled to a corresponding tax deduction.</w:t>
      </w:r>
    </w:p>
    <w:p>
      <w:pPr>
        <w:spacing w:after="0" w:line="63"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Performance Bonus Awards and Performance Stock Units</w:t>
      </w:r>
      <w:r>
        <w:rPr>
          <w:rFonts w:ascii="Times New Roman" w:cs="Times New Roman" w:eastAsia="Times New Roman" w:hAnsi="Times New Roman"/>
          <w:sz w:val="18"/>
          <w:szCs w:val="18"/>
          <w:color w:val="auto"/>
        </w:rPr>
        <w:t>. The participant will not realize income when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award is granted (which can be settled in cash or our Common Stock), but will realize ordinary income when 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spacing w:after="0" w:line="71"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Stock- or Cash-Based Awards</w:t>
      </w:r>
      <w:r>
        <w:rPr>
          <w:rFonts w:ascii="Times New Roman" w:cs="Times New Roman" w:eastAsia="Times New Roman" w:hAnsi="Times New Roman"/>
          <w:sz w:val="18"/>
          <w:szCs w:val="18"/>
          <w:color w:val="auto"/>
        </w:rPr>
        <w:t>. The participant will not realize income when a stock bonus (which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settled in cash or our Common Stock) is granted, but will realize ordinary income when 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spacing w:after="0" w:line="7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Withholding Tax Requirements</w:t>
      </w:r>
      <w:r>
        <w:rPr>
          <w:rFonts w:ascii="Times New Roman" w:cs="Times New Roman" w:eastAsia="Times New Roman" w:hAnsi="Times New Roman"/>
          <w:sz w:val="18"/>
          <w:szCs w:val="18"/>
          <w:color w:val="auto"/>
        </w:rPr>
        <w:t>. Whenever shares are to be issued in satisfaction of Awards granted under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Plan or the applicable tax event occurs, we may require the participant to remit to us an amount sufficient to satisfy applicable withholding tax requirements. Whenever payments in satisfaction of an Award are to be made in cash, such payment will be net of an amount sufficient to satisfy the applicable withholding tax requirements. Our Compensation Committee may require or permit the participant to satisfy applicable withholding tax requirements, in whole or in part by paying cash, electing to have us withhold otherwise deliverable cash or shares having a fair market value equal to the minimum statutory amount required to be withheld (or such other amount that will not cause an adverse accounting consequence or cost), delivering to us already-owned shares having a fair market value equal to the minimum amount required to be withheld or withholding from the proceeds of the sale of otherwise deliverable shares acquired pursuant to an award either through a voluntary sale or through a mandatory sale arranged by 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April 2025, our Board approved grants consisting of 5,000 RSUs and stock options to purchase up to 5,000 shares of our Common Stock to each of our non-employee directors under our 2021 Plan. Additionally, in April 2025, our Compensation Committee approved grants of stock options to purchase a total of 188,278 shares of Common Stock to executive and non-executive employees. These equity grants are contingent upon stockholder approval of this Proposal No. 3 and included in the table below.</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Other than the grants disclosed in the table below, our Compensation Committee has broad discretion over the granting and amount of Awards under the 2021 Plan. As a result, it is not possible to determine any additional benefits or amounts that will be received by any individual participant or group of participants in the future, other than those described above.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6"/>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60" w:type="dxa"/>
            <w:vAlign w:val="bottom"/>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3"/>
                <w:szCs w:val="13"/>
                <w:color w:val="auto"/>
              </w:rPr>
            </w:pPr>
          </w:p>
        </w:tc>
        <w:tc>
          <w:tcPr>
            <w:tcW w:w="7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3"/>
                <w:szCs w:val="13"/>
                <w:color w:val="auto"/>
              </w:rPr>
            </w:pPr>
          </w:p>
        </w:tc>
        <w:tc>
          <w:tcPr>
            <w:tcW w:w="7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1060" w:type="dxa"/>
            <w:vAlign w:val="bottom"/>
            <w:gridSpan w:val="2"/>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Shoun</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President, and Chairman of our Board</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42,856.21</w:t>
            </w:r>
          </w:p>
        </w:tc>
        <w:tc>
          <w:tcPr>
            <w:tcW w:w="8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46,281</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40,298.59</w:t>
            </w:r>
          </w:p>
        </w:tc>
        <w:tc>
          <w:tcPr>
            <w:tcW w:w="8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43,519</w:t>
            </w:r>
          </w:p>
        </w:tc>
        <w:tc>
          <w:tcPr>
            <w:tcW w:w="160" w:type="dxa"/>
            <w:vAlign w:val="bottom"/>
          </w:tcPr>
          <w:p>
            <w:pPr>
              <w:spacing w:after="0"/>
              <w:rPr>
                <w:sz w:val="20"/>
                <w:szCs w:val="20"/>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Aydelott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Operating Officer</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Group</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113,681.32</w:t>
            </w:r>
          </w:p>
        </w:tc>
        <w:tc>
          <w:tcPr>
            <w:tcW w:w="8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122,766</w:t>
            </w:r>
          </w:p>
        </w:tc>
        <w:tc>
          <w:tcPr>
            <w:tcW w:w="160" w:type="dxa"/>
            <w:vAlign w:val="bottom"/>
          </w:tcPr>
          <w:p>
            <w:pPr>
              <w:spacing w:after="0"/>
              <w:rPr>
                <w:sz w:val="20"/>
                <w:szCs w:val="20"/>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 Group</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27,780.00</w:t>
            </w:r>
          </w:p>
        </w:tc>
        <w:tc>
          <w:tcPr>
            <w:tcW w:w="8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15,000</w:t>
            </w:r>
          </w:p>
        </w:tc>
        <w:tc>
          <w:tcPr>
            <w:tcW w:w="8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Officer Employee Group</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60,664.11</w:t>
            </w:r>
          </w:p>
        </w:tc>
        <w:tc>
          <w:tcPr>
            <w:tcW w:w="8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65,512</w:t>
            </w:r>
          </w:p>
        </w:tc>
        <w:tc>
          <w:tcPr>
            <w:tcW w:w="160" w:type="dxa"/>
            <w:vAlign w:val="bottom"/>
          </w:tcPr>
          <w:p>
            <w:pPr>
              <w:spacing w:after="0"/>
              <w:rPr>
                <w:sz w:val="20"/>
                <w:szCs w:val="20"/>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8229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3" w:lineRule="exact"/>
        <w:rPr>
          <w:sz w:val="20"/>
          <w:szCs w:val="20"/>
          <w:color w:val="auto"/>
        </w:rPr>
      </w:pPr>
    </w:p>
    <w:p>
      <w:pPr>
        <w:ind w:left="640" w:right="31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value included is based on the closing price per share of Common Stock on June 16, 2025, of $0.926. However, the actual dollar value of such awards will not be determinable until the effective grant date of such awards.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 Requirements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Nevada law and our Bylaws, if a quorum is present, this Proposal No. 3 will be approved if the number of votes cast “FOR” the Plan Amendment exceeds the number of votes cast “AGAINST” the matter. This proposal is considered a “non-routine” matter. As a result, a bank, broker, dealer, or other nominee may not vote without instructions on this proposal. Abstentions and broker non-votes will have no effect on the outcome of Proposal No. 3.</w:t>
      </w:r>
    </w:p>
    <w:p>
      <w:pPr>
        <w:spacing w:after="0" w:line="112" w:lineRule="exact"/>
        <w:rPr>
          <w:sz w:val="20"/>
          <w:szCs w:val="20"/>
          <w:color w:val="auto"/>
        </w:rPr>
      </w:pPr>
    </w:p>
    <w:p>
      <w:pPr>
        <w:jc w:val="center"/>
        <w:ind w:left="292" w:right="5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THE AMENDMENT OF OUR 2021 INCENTIVE AWARD PLAN.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PLAN AMENDMENT UNLESS OTHERWISE SPECIFIED.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 – AMENDMENT OF 2021 EMPLOYEE STOCK PURCHASE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believes our 2021 ESPP is important to enhance our ability to attract and retain the services of employees upon whose judgment, initiative, and efforts the successful conduct and development of our business largely depends. We are asking our stockholders to approve an amendment to our 2021 ESPP (the “ESPP Amendment”) to increase the number of shares of Common Stock reserved for issuance under the plan by 500,000 shares. The Board, upon the recommendation of our Compensation Committee, unanimously approved the ESPP Amendment, subject to stockholder approval at the Annual Meeting.</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ESPP Amendment is approved, the total number of shares authorized for issuance under our 2021 ESPP will increase to an aggregate of 524,051 shares, inclusive of awards previously granted by our Board subject to stockholder approval of this Proposal No. 4. If the ESPP Amendment is not approved, our 2021 ESPP will remain in effect according to its current terms.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Our 2021 ESPP and Rationale for ESPP Amendment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2021 ESPP was adopted in connection with our initial public offering to offer eligible employees an opportunity to acquire or increase their ownership interests in the Company, giving participants a meaningful equity stake in our business and an interest in the success and increased value of the Company, and encouraging them to remain employed with the Company. No shares have been issued to date under our 2021 ESPP.</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There were initially 128,900 shares of Common Stock reserved for issuance under our 2021 ESPP, and under the 2021 ESPP’s “evergreen” provision, the share reserve increases annually by 1% of the outstanding Common Stock as of December 31 of the prior year. The number of shares of Common Stock available under our 2021 ESPP will continue to increase in future years through January 31, 2031 pursuant to our 2021 ESPP’s evergreen provision.</w:t>
      </w:r>
    </w:p>
    <w:p>
      <w:pPr>
        <w:spacing w:after="0" w:line="72" w:lineRule="exact"/>
        <w:rPr>
          <w:sz w:val="20"/>
          <w:szCs w:val="20"/>
          <w:color w:val="auto"/>
        </w:rPr>
      </w:pPr>
    </w:p>
    <w:p>
      <w:pPr>
        <w:jc w:val="both"/>
        <w:ind w:left="300" w:right="299"/>
        <w:spacing w:after="0" w:line="273" w:lineRule="auto"/>
        <w:rPr>
          <w:sz w:val="20"/>
          <w:szCs w:val="20"/>
          <w:color w:val="auto"/>
        </w:rPr>
      </w:pPr>
      <w:r>
        <w:rPr>
          <w:rFonts w:ascii="Times New Roman" w:cs="Times New Roman" w:eastAsia="Times New Roman" w:hAnsi="Times New Roman"/>
          <w:sz w:val="17"/>
          <w:szCs w:val="17"/>
          <w:color w:val="auto"/>
        </w:rPr>
        <w:t>However, as a result the Reverse Stock Split consummated in October 2024, the number of shares of Common Stock reserved for issuance under our 2021 ESPP was substantially reduced. As of June 17, 2025, only 24,051 shares of Common Stock remain reserved for issuance under our 2021 ESPP, which is not sufficient for anticipated levels of future participation in the plan, and the utility of our 2021 ESPP will be limited. Our Board believes it is in the best interest of our stockholders to seek an increase in the number of shares of our Common Stock reserved for issuance under our 2021 ESPP so we can continue to motivate and incentivize our employees, encourage employee performance that drives stockholder value over the long term, and fulfill the objectives of our compensation strategy.</w:t>
      </w:r>
    </w:p>
    <w:p>
      <w:pPr>
        <w:spacing w:after="0" w:line="6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considering our recommendation to increase the number of shares of our Common Stock reserved for issuance under our 2021 ESPP by 500,000 shares, our Board considered a number of factors, including: the historical and projected participation in level under our 2021 ESPP by our eligible employees, including the level of payroll deductions anticipated to be authorized by eligible employees; and the significant reduction in the trading price, and increased volatility, of our Common Stock in recent years, which has resulted in an overall diminution in the value of our previously issued equity awards.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light of the foregoing, our Board believes the additional share request to be appropriate and necessary to meet the objectives of our equity compensation program, and to be in the best interest of our stockholders.</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this Proposal No. 4 is approved by our stockholders at the Annual Meeting, we intend to register the shares of Common Stock available for issuance under our 2021 ESPP on a registration statement on Form S-8 under the Securities Act as soon as reasonably practicable following receipt of approval.</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 copy of the ESPP Amendment is attached to this Proxy Statement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Features of Our 2021 ESPP</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provides a summary of the material features of our 2021 ESPP. This summary does not purport to be a complete description of all of the provisions of our 2021 ESPP and is qualified in its entirety by the plan document of our 2021 ESPP, filed as an exhibit to our Annual Report.</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2021 ESPP is designed to allow our eligible employees to purchase shares of our Common Stock, at periodic intervals, with their accumulated payroll deductions. Our 2021 ESPP consists of two components: a Section 423 component, which is intended to qualify under Section 423 of the Code and a non-Section 423 component, which need not qualify under Section 423 of the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our 2021 ESPP, our compensation committee administers our 2021 ESPP (the “ESPP Administrator”). Our compensation committee can delegate administrative tasks under our 2021 ESPP to the services of an agent and/or employees to assist in the administration of our 2021 ESPP. The ESPP Administrator has the discretionary authority to administer and interpret our 2021 ESPP. Interpretations and constructions of the ESPP Administrator of any provision of our 2021 ESPP, or of any rights thereunder, will be conclusive and binding on all persons. We will bear all expenses and liabilities incurred by the ESPP Administrator.</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Employees eligible to participate in our 2021 ESPP for a given offering period generally include employees who have been employed by us or one of our future subsidiaries for a specified period of time prior to the first day of the offering period, or the enrollment date. Our employees (and, if applicable, any employees of our future subsidiaries) who customarily work less than five months in a calendar year or are customarily scheduled to work less than 20 hours per week will not be eligible to participate in our 2021 ESPP. Finally, an employee who owns (or is deemed to own through attribution) 5% or more of the combined voting power or value of all our classes of stock or of one of our future subsidiaries will not be allowed to participate in our 2021 ESPP.</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Participation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Employees will enroll under our 2021 ESPP by completing a payroll deduction form permitting the deduction from their compensation of at least 1% of their compensation but not more than 15% of their compensation. Such payroll deductions will be expressed as a whole number percentage, and the accumulated deductions will be applied to the purchase of shares on each purchase date. However, a participant may not purchase more 100,000 shares in each purchase period and, under the Section 423 component, may not accrue the right to purchase shares of Common Stock at a rate that exceeds $25,000 in fair market value of shares of our Common Stock (determined at the time the Option is granted) for each calendar year the Option is outstanding (as determined in accordance with Section 423 of the Code). The ESPP Administrator has the authority to change the per purchase period limitation for any subsequent offering period. As of June 17, 2025, there are approximately 20 employees eligible for participation in our 2021 ESPP.</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our 2021 ESPP, participants are offered the option to purchase shares of our Common Stock at a discount during a series of offering periods, which may be comprised of multiple purchase periods. The ESPP Administrator may determine the duration and timing of offering periods in its discretion. However, in no event may an offering period be longer than 27 months in length.</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Option purchase price will be the lower of 85% of the closing trading price per share of our Common Stock on the first day of an offering period in which a participant is enrolled or 85% of the closing trading price per share on the purchase date, which will occur on the last day of each purchase period.</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Unless a participant has previously canceled his or her participation in our 2021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participant may cancel his or her payroll deduction authorization at any time prior to the end of the offering period. Upon cancellation, the participant will receive a refund of the participant’s account balance in cash without interest. Following at least one payroll deduction, a participant may also decrease (but not increase) his or her payroll deduction authorization once during any purchase period. If a participant wants to increase or decrease the rate of payroll withholding, he or she may do so effective for the next offering period by submitting a new form before the offering period for which such change is to be effective.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may amend, suspend or terminate our 2021 ESPP at any time. However, our Board may not amend our 2021 ESPP without obtaining stockholder approval within twelve months before or after such amendment to the extent required by applicable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is a general summary, as of the date of this Proxy Statement, of the United States federal income tax consequences to our 2021 ESPP participants and us. The federal tax laws may change and the federal, state, and local tax consequences for any participant will depend upon his or her individual circumstances.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2021 ESPP consists of two components: a Section 423 component, which is intended to qualify under Section 423 of the Code and a non-Section 423 component, which need not qualify under Section 423 of the Code.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U.S. Participants in the Section 423 Component</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right of U.S. participants to make purchases under the Section 423 component are intended to qualify under the provisions of Sections 421 and 423 of the Code. Under these provisions, no income will be taxable to a participant at the time of grant of the Option or the purchase of shares. However, a participant may become liable for tax upon disposition of the shares acquired as discussed below.</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shares are sold or disposed of, including by way of gift, at least two years after the offering date and more than one year after the date on which shares were transferred to the employee, then the lesser of (a) the excess of the amount actually received for the shares over the amount paid for the shares or (b) 15% of the fair market value of the shares on the purchase date, will be treated as ordinary income to the participant. The employee’s basis in the shares will be increased by the amount of the compensation income recognized. Any further gain or loss upon such disposition will be treated as long-term capital gain or loss. If the shares are sold and the sales price is less than the price paid for the shares, there is no ordinary income and the participant has a capital loss for the difference.</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the shares are sold or disposed of, including by way of gift, before the expiration of the holding periods described above, then the excess of the fair market value of the shares on the last date of the offering period in which the shares were purchased over the purchase price of the shares will be treated as ordinary income to the participant. This excess will constitute ordinary income in the year of sale or other disposition even if no gain is realized on the sale or a gratuitous transfer of the shares is made. The basis in the shares will be increased by the amount of the compensation income recognized. Any further gain or loss recognized in connection with any such sale or exchange will be treated as capital gain or loss and will be treated as short-term capital gain or loss if the shares have been held less than one year.</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shares are sold or disposed of before the expiration of the statutory holding periods, we are generally entitled to a tax deduction in an amount equal to the ordinary income recognized by the participant in connection with such sale or disposition.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U.S. Participants in the Non-Section 423 Component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participant in the non-Section 423 component will have compensation income equal to the value of the common stock on the day participant purchased the shares less the purchase price. When a participant sells the shares purchased under the non-Section 423 component, the participant also will have a capital gain or loss equal to the difference between the sales proceeds and the value of the share on the day the participant purchased it. This capital gain or loss will be long-term if the participant held the shares for more than one year and otherwise will be short-term. Any compensation income that a participant receives upon the purchase of shares of common stock under the non-Section 423 component is subject to withholding for income, Medicare and social security taxes, as applicable. In addition, the compensation income is required to be reported as ordinary income to the participant on the participant’s annual Form W-2, and the participant is responsible for ensuring that this income is reported on the participant’s individual income tax return. We are generally entitled to a deduction for amounts taxed as ordinary income to a participant to the extent of ordinary income recognized upon a purchase made under the non-Section 423 component.</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foregoing summary of the effect of federal income taxation upon our 2021 ESPP participants and us with respect to the shares purchased under our 2021 ESPP does not purport to be complete. Reference should be made to the applicable provisions of the Code. In addition, the summary does not discuss the provisions of the income tax laws of any municipality, state or foreign country in which the participant may reside.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 Requirements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Nevada law and our Bylaws, if a quorum is present, this Proposal No. 4 will be approved if the number of votes cast FOR the ESPP Amendment exceeds the number of votes cast AGAINST the matter. This proposal is considered a “non-routine” matter. As a result, a bank, broker, dealer, or other nominee may not vote without instructions on this proposal. Abstentions and broker non-votes are not considered votes cast and will have no effect on the outcome of Proposal No. 4.</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BOARD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THE AMENDMENT OF OUR 2021 EMPLOYEE STOCK</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i w:val="1"/>
          <w:iCs w:val="1"/>
          <w:color w:val="auto"/>
        </w:rPr>
        <w:t>PURCHASE PLAN.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PROXIES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ESPP AMENDMENT UNLESS OTHERWISE SPECIFIED.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For 2026 Annual Meeting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Proposals or director nominations by stockholders intended to be presented at our 2026 Annual Meeting and included in our proxy statement and form of proxy relating to that meeting must be delivered to our principal executive offices located at 2025 SW Deerhound Avenue, Redmond, Oregon 97756 no later than February 17, 2026. In order to be included in our proxy statement, any such proposal or director nomination must comply with applicable SEC rules.</w:t>
      </w:r>
    </w:p>
    <w:p>
      <w:pPr>
        <w:spacing w:after="0" w:line="75" w:lineRule="exact"/>
        <w:rPr>
          <w:sz w:val="20"/>
          <w:szCs w:val="20"/>
          <w:color w:val="auto"/>
        </w:rPr>
      </w:pPr>
    </w:p>
    <w:p>
      <w:pPr>
        <w:jc w:val="both"/>
        <w:ind w:left="300" w:right="299"/>
        <w:spacing w:after="0" w:line="232" w:lineRule="auto"/>
        <w:rPr>
          <w:sz w:val="20"/>
          <w:szCs w:val="20"/>
          <w:color w:val="auto"/>
        </w:rPr>
      </w:pPr>
      <w:r>
        <w:rPr>
          <w:rFonts w:ascii="Times New Roman" w:cs="Times New Roman" w:eastAsia="Times New Roman" w:hAnsi="Times New Roman"/>
          <w:sz w:val="18"/>
          <w:szCs w:val="18"/>
          <w:color w:val="auto"/>
        </w:rPr>
        <w:t>Proposals or director nominations by stockholders intended to be considered at the 2026 Annual Meeting without including any such proposal or director nomination in our proxy statement and form of proxy relating to that meeting must be delivered to our principal executive offices no earlier than the close of business on May 2, 2026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Annual Meeting), and no later than the close of business on June 1,</w:t>
      </w:r>
    </w:p>
    <w:p>
      <w:pPr>
        <w:spacing w:after="0" w:line="2" w:lineRule="exact"/>
        <w:rPr>
          <w:sz w:val="20"/>
          <w:szCs w:val="20"/>
          <w:color w:val="auto"/>
        </w:rPr>
      </w:pPr>
    </w:p>
    <w:p>
      <w:pPr>
        <w:jc w:val="both"/>
        <w:ind w:left="300" w:right="319"/>
        <w:spacing w:after="0" w:line="209" w:lineRule="auto"/>
        <w:rPr>
          <w:sz w:val="20"/>
          <w:szCs w:val="20"/>
          <w:color w:val="auto"/>
        </w:rPr>
      </w:pPr>
      <w:r>
        <w:rPr>
          <w:rFonts w:ascii="Times New Roman" w:cs="Times New Roman" w:eastAsia="Times New Roman" w:hAnsi="Times New Roman"/>
          <w:sz w:val="18"/>
          <w:szCs w:val="18"/>
          <w:color w:val="auto"/>
        </w:rPr>
        <w:t>2026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Annual Meeting). In order to make a proposal at the 2026 Annual Meeting, any such proposal or director nomination must comply with our Bylaws.</w:t>
      </w:r>
    </w:p>
    <w:p>
      <w:pPr>
        <w:spacing w:after="0" w:line="90"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8"/>
          <w:szCs w:val="18"/>
          <w:color w:val="auto"/>
        </w:rPr>
        <w:t>In addition to satisfying the foregoing requirements of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June 1, 2026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Annual Meeting).</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Company’s stockholders do not have appraisal rights under Nevada law or under the governing documents of the Company with respect to the matters to be voted upon at the Annual Meeting.</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and banks)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potentially means extra convenience for stockholders and cost savings for companies.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broker or bank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broker or bank. If you are a record holder, you may call Broadridge at (800) 542-1061 or submit a request in writing to Broadridge Financial Solutions, Inc., Householding Department at 51 Mercedes Way, Edgewood, New York, 11717. Stockholders who currently receive multiple copies of our proxy materials at their address and would like to request householding of their communications should contact their broker or bank. Stockholders of record can contact Broadridge at the telephone number or address listed above.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Incorporation by Reference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This Proxy Statement may contain statements regarding future individual and Company performance targets and Company performance goals. These targets and Company performance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our Board knows of no matters other than those listed in this Proxy Statement that are likely to be brought before the Annual Meeting. However, if any other matter properly comes before the Annual Meeting, the persons named on the enclosed proxy card will vote the proxy in accordance with their best judgment on such matter.</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 Paul Shoun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35560</wp:posOffset>
            </wp:positionV>
            <wp:extent cx="2468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Paul Shoun</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Co-Founder, President, and Chairman of our Board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Redmond, Oregon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17,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THE EXPION360 INC. 2021 INCENTIVE AWARD PLAN</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Second Amendment (this “</w:t>
      </w:r>
      <w:r>
        <w:rPr>
          <w:rFonts w:ascii="Times New Roman" w:cs="Times New Roman" w:eastAsia="Times New Roman" w:hAnsi="Times New Roman"/>
          <w:sz w:val="18"/>
          <w:szCs w:val="18"/>
          <w:u w:val="single" w:color="auto"/>
          <w:color w:val="auto"/>
        </w:rPr>
        <w:t>Second Plan Amendment</w:t>
      </w:r>
      <w:r>
        <w:rPr>
          <w:rFonts w:ascii="Times New Roman" w:cs="Times New Roman" w:eastAsia="Times New Roman" w:hAnsi="Times New Roman"/>
          <w:sz w:val="18"/>
          <w:szCs w:val="18"/>
          <w:color w:val="auto"/>
        </w:rPr>
        <w:t>”) to the Expion360 Inc. 2021 Incentive Award Plan (as may be amended from time to time,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is made on July 31, 2025. Capitalized terms used herein without definition shall have the meanings ascribed to such terms in the 2021 Plan.</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WHEREAS, Section 11.4 of the 2021 Plan permits the Board to amend the 2021 Plan, subject, in the case of any amendment requiring stockholder approval under Applicable Law, to approval by the Company’s stockholders;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desires to amend the 2021 Plan to increase the Overall Share Limit;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an increase to the Overall Share Limit requires stockholder approval under Applicable Law;</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WHEREAS, this Second Plan Amendment shall be submitted to the Company’s stockholders for approval, and shall become effective as of the date on which the Company’s stockholders approve such Second Plan Amendment (the “</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WHEREAS, if the Company’s stockholders fail to approve this Plan Amendment, the 2021 Plan as in effect prior to the Amendment Effective Date shall continue in full force and effect.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NOW, THEREFORE, pursuant to Section 11.4 of the 2021 Plan, the 2021 Plan is hereby amended as follows, effective as of the Amendment Effective Date:</w:t>
      </w:r>
    </w:p>
    <w:p>
      <w:pPr>
        <w:spacing w:after="0" w:line="54"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2.30 of the 2021 Plan is hereby amended to read as follows:</w:t>
      </w:r>
    </w:p>
    <w:p>
      <w:pPr>
        <w:spacing w:after="0" w:line="115" w:lineRule="exact"/>
        <w:rPr>
          <w:sz w:val="20"/>
          <w:szCs w:val="20"/>
          <w:color w:val="auto"/>
        </w:rPr>
      </w:pPr>
    </w:p>
    <w:p>
      <w:pPr>
        <w:jc w:val="both"/>
        <w:ind w:left="1380" w:right="29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Overall Share Limit</w:t>
      </w:r>
      <w:r>
        <w:rPr>
          <w:rFonts w:ascii="Times New Roman" w:cs="Times New Roman" w:eastAsia="Times New Roman" w:hAnsi="Times New Roman"/>
          <w:sz w:val="18"/>
          <w:szCs w:val="18"/>
          <w:color w:val="auto"/>
        </w:rPr>
        <w:t>” means the sum of (i) 10% of the fully diluted shares of all classes of the Company’s common stock outstanding immediately following the Public Trading Date plus (ii) any Shares that are subject to Awards that become available for issuance under the Plan pursuant to Article V plus (iii) an increase commencing on January 1, 2022 and continuing annually on the anniversary thereof through (and including) January 1, 2031, equal to the lesser of (A) 5% of the aggregate number of shares of all classes of the Company’s common stock outstanding on the last day of the immediately preceding calendar year and (B) such smaller number of Shares as determined by the Board or the Committee plus (iv) an additional 250,000 Shares as of the Amendment Effective Date, and (v) an additional 750,000 Shares as of the Second Amendment Effective Date.</w:t>
      </w:r>
    </w:p>
    <w:p>
      <w:pPr>
        <w:spacing w:after="0" w:line="82"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2.39(b) is hereby added to the 2021 Plan, and shall read as follows:</w:t>
      </w:r>
    </w:p>
    <w:p>
      <w:pPr>
        <w:spacing w:after="0" w:line="115" w:lineRule="exact"/>
        <w:rPr>
          <w:sz w:val="20"/>
          <w:szCs w:val="20"/>
          <w:color w:val="auto"/>
        </w:rPr>
      </w:pPr>
    </w:p>
    <w:p>
      <w:pPr>
        <w:jc w:val="both"/>
        <w:ind w:left="1380" w:right="2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Amendment Effective Date</w:t>
      </w:r>
      <w:r>
        <w:rPr>
          <w:rFonts w:ascii="Times New Roman" w:cs="Times New Roman" w:eastAsia="Times New Roman" w:hAnsi="Times New Roman"/>
          <w:sz w:val="18"/>
          <w:szCs w:val="18"/>
          <w:color w:val="auto"/>
        </w:rPr>
        <w:t>” means the date the stockholders of the Company approve the amendment to the Plan proposed to such stockholders of the Company in the Company’s 2025 annual proxy statement.</w:t>
      </w:r>
    </w:p>
    <w:p>
      <w:pPr>
        <w:spacing w:after="0" w:line="67" w:lineRule="exact"/>
        <w:rPr>
          <w:sz w:val="20"/>
          <w:szCs w:val="20"/>
          <w:color w:val="auto"/>
        </w:rPr>
      </w:pPr>
    </w:p>
    <w:p>
      <w:pPr>
        <w:jc w:val="both"/>
        <w:ind w:left="1000" w:right="3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Plan Amendment may be executed in one or more facsimile, electronic or original counterparts, each of which shall be deemed an original and both of which together shall constitute the same instrument.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and provisions of 2021 Plan not amended hereby shall remain in full force and effect. From and after the Second Amendment Effective Date, all references to the term “Plan,” “Second Amendment Effective Date” or “2021 Plan” in this Second Plan Amendment or the 2021 Plan shall include the terms contained in this Second Plan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EXPION360 INC. 2021 EMPLOYEE STOCK PURCHASE PLAN</w:t>
      </w:r>
    </w:p>
    <w:p>
      <w:pPr>
        <w:spacing w:after="0" w:line="9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ESPP Amendment</w:t>
      </w:r>
      <w:r>
        <w:rPr>
          <w:rFonts w:ascii="Times New Roman" w:cs="Times New Roman" w:eastAsia="Times New Roman" w:hAnsi="Times New Roman"/>
          <w:sz w:val="18"/>
          <w:szCs w:val="18"/>
          <w:color w:val="auto"/>
        </w:rPr>
        <w:t>”) to the Expion360 Inc. 2021 Employee Stock Purchase Plan (as may be amended from time to time, the “</w:t>
      </w:r>
      <w:r>
        <w:rPr>
          <w:rFonts w:ascii="Times New Roman" w:cs="Times New Roman" w:eastAsia="Times New Roman" w:hAnsi="Times New Roman"/>
          <w:sz w:val="18"/>
          <w:szCs w:val="18"/>
          <w:u w:val="single" w:color="auto"/>
          <w:color w:val="auto"/>
        </w:rPr>
        <w:t>2021 ESPP</w:t>
      </w:r>
      <w:r>
        <w:rPr>
          <w:rFonts w:ascii="Times New Roman" w:cs="Times New Roman" w:eastAsia="Times New Roman" w:hAnsi="Times New Roman"/>
          <w:sz w:val="18"/>
          <w:szCs w:val="18"/>
          <w:color w:val="auto"/>
        </w:rPr>
        <w:t>”) is made on July 31, 2025. Capitalized terms used herein without definition shall have the meanings ascribed to such terms in the 2021 ESPP.</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WHEREAS, Section 7.5 of the 2021 ESPP permits the Board to amend the 2021 ESPP, subject, in the case of any amendment requiring stockholder approval under applicable law, to approval by the Company’s stockholders;</w:t>
      </w:r>
    </w:p>
    <w:p>
      <w:pPr>
        <w:spacing w:after="0" w:line="81" w:lineRule="exact"/>
        <w:rPr>
          <w:sz w:val="20"/>
          <w:szCs w:val="20"/>
          <w:color w:val="auto"/>
        </w:rPr>
      </w:pPr>
    </w:p>
    <w:p>
      <w:pPr>
        <w:ind w:left="660" w:right="559"/>
        <w:spacing w:after="0" w:line="422" w:lineRule="auto"/>
        <w:rPr>
          <w:sz w:val="20"/>
          <w:szCs w:val="20"/>
          <w:color w:val="auto"/>
        </w:rPr>
      </w:pPr>
      <w:r>
        <w:rPr>
          <w:rFonts w:ascii="Times New Roman" w:cs="Times New Roman" w:eastAsia="Times New Roman" w:hAnsi="Times New Roman"/>
          <w:sz w:val="17"/>
          <w:szCs w:val="17"/>
          <w:color w:val="auto"/>
        </w:rPr>
        <w:t>WHEREAS, the Board desires to amend the 2021 ESPP to increase the Common Stock reserved; WHEREAS, an increase to the Common Stock reserved requires stockholder approval under applicable law;</w:t>
      </w:r>
    </w:p>
    <w:p>
      <w:pPr>
        <w:spacing w:after="0" w:line="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WHEREAS, this ESPP Amendment shall be submitted to the Company’s stockholders for approval, and shall become effective as of the date on which the Company’s stockholders approve such ESPP Amendment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WHEREAS, if the Company’s stockholders fail to approve this ESPP Amendment, the 2021 ESPP as in effect prior to the Amendment Effective Date shall continue in full force and effect.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NOW, THEREFORE, pursuant to Section 7.5 of the 2021 ESPP, the 2021 ESPP is hereby amended as follows, effective as of the Amendment Effective Date:</w:t>
      </w:r>
    </w:p>
    <w:p>
      <w:pPr>
        <w:spacing w:after="0" w:line="54"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 of the 2021 ESPP is hereby amended to read as follows:</w:t>
      </w:r>
    </w:p>
    <w:p>
      <w:pPr>
        <w:spacing w:after="0" w:line="117" w:lineRule="exact"/>
        <w:rPr>
          <w:sz w:val="20"/>
          <w:szCs w:val="20"/>
          <w:color w:val="auto"/>
        </w:rPr>
      </w:pPr>
    </w:p>
    <w:p>
      <w:pPr>
        <w:jc w:val="both"/>
        <w:ind w:left="1380" w:right="299"/>
        <w:spacing w:after="0" w:line="252" w:lineRule="auto"/>
        <w:rPr>
          <w:sz w:val="20"/>
          <w:szCs w:val="20"/>
          <w:color w:val="auto"/>
        </w:rPr>
      </w:pPr>
      <w:r>
        <w:rPr>
          <w:rFonts w:ascii="Times New Roman" w:cs="Times New Roman" w:eastAsia="Times New Roman" w:hAnsi="Times New Roman"/>
          <w:sz w:val="18"/>
          <w:szCs w:val="18"/>
          <w:u w:val="single" w:color="auto"/>
          <w:color w:val="auto"/>
        </w:rPr>
        <w:t>Common Stock Reserved</w:t>
      </w:r>
      <w:r>
        <w:rPr>
          <w:rFonts w:ascii="Times New Roman" w:cs="Times New Roman" w:eastAsia="Times New Roman" w:hAnsi="Times New Roman"/>
          <w:sz w:val="18"/>
          <w:szCs w:val="18"/>
          <w:color w:val="auto"/>
        </w:rPr>
        <w:t>. Subject to adjustment as provided in Section 5.2 [Adjustments Upon Changes in Capitalization, Dissolution, Liquidation, Merger or Asset Sale] hereof, the maximum number of shares of Common Stock that shall be made available for sale under the Plan shall be the sum of (a) 2% of the fully diluted shares of all classes of the Company’s common stock outstanding as of immediately following the Public Trading Date, (b) an increase commencing on January 1, 2022 and continuing annually on the anniversary thereof through (and including) January 1, 2031, equal to the lesser of (A) 1% of the aggregate number of shares of all classes of the Company’s common stock outstanding on the last day of the immediately preceding calendar year, and (B) such smaller number of shares of Common Stock as determined by the Board or the Committee, and (c) an increase of 500,000 shares of Common Stock as of the Amendment Effective Date; provided, however, no more than 2,500,000 shares of Common Stock may be issued under the Plan. Shares made available for sale under the Plan may be authorized but unissued shares, treasury shares of Common Stock, or reacquired shares reserved for issuance under the Plan. All or any portion of such maximum number of shares may be issued under the Section 423 Component.</w:t>
      </w:r>
    </w:p>
    <w:p>
      <w:pPr>
        <w:spacing w:after="0" w:line="89" w:lineRule="exact"/>
        <w:rPr>
          <w:sz w:val="20"/>
          <w:szCs w:val="20"/>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2.2(b) is hereby added to the 2021 ESPP, and shall read as follows:</w:t>
      </w:r>
    </w:p>
    <w:p>
      <w:pPr>
        <w:spacing w:after="0" w:line="115" w:lineRule="exact"/>
        <w:rPr>
          <w:sz w:val="20"/>
          <w:szCs w:val="20"/>
          <w:color w:val="auto"/>
        </w:rPr>
      </w:pPr>
    </w:p>
    <w:p>
      <w:pPr>
        <w:jc w:val="both"/>
        <w:ind w:left="1380" w:right="2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Effective Date</w:t>
      </w:r>
      <w:r>
        <w:rPr>
          <w:rFonts w:ascii="Times New Roman" w:cs="Times New Roman" w:eastAsia="Times New Roman" w:hAnsi="Times New Roman"/>
          <w:sz w:val="18"/>
          <w:szCs w:val="18"/>
          <w:color w:val="auto"/>
        </w:rPr>
        <w:t>” means the date the stockholders of the Company approve the amendment to the Plan proposed to such stockholders of the Company in the Company’s 2025 annual proxy statement.</w:t>
      </w:r>
    </w:p>
    <w:p>
      <w:pPr>
        <w:spacing w:after="0" w:line="67" w:lineRule="exact"/>
        <w:rPr>
          <w:sz w:val="20"/>
          <w:szCs w:val="20"/>
          <w:color w:val="auto"/>
        </w:rPr>
      </w:pPr>
    </w:p>
    <w:p>
      <w:pPr>
        <w:jc w:val="both"/>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ESPP Amendment may be executed in one or more facsimile, electronic or original counterparts, each of which shall be deemed an original and both of which together shall constitute the same instrument.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and provisions of 2021 ESPP not amended hereby shall remain in full force and effect. From and after the Amendment Effective Date, all references to the term “Amendment Effective Date” or “2021 ESPP” in this ESPP Amendment or the 2021 ESPP shall include the terms contained in this Plan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5715</wp:posOffset>
            </wp:positionV>
            <wp:extent cx="5597525" cy="7243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11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102870</wp:posOffset>
            </wp:positionV>
            <wp:extent cx="5597525" cy="7243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C-2</w:t>
      </w:r>
    </w:p>
    <w:sectPr>
      <w:pgSz w:w="11900" w:h="16838" w:orient="portrait"/>
      <w:cols w:equalWidth="0" w:num="1">
        <w:col w:w="9059"/>
      </w:cols>
      <w:pgMar w:left="140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lvl w:ilvl="1">
      <w:lvlJc w:val="left"/>
      <w:lvlText w:val="☐"/>
      <w:numFmt w:val="bullet"/>
      <w:start w:val="1"/>
    </w:lvl>
  </w:abstractNum>
  <w:abstractNum w:abstractNumId="1">
    <w:nsid w:val="6763845E"/>
    <w:multiLevelType w:val="hybridMultilevel"/>
    <w:lvl w:ilvl="0">
      <w:lvlJc w:val="left"/>
      <w:lvlText w:val="☒"/>
      <w:numFmt w:val="bullet"/>
      <w:start w:val="1"/>
    </w:lvl>
    <w:lvl w:ilvl="1">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upperLetter"/>
      <w:start w:val="1"/>
    </w:lvl>
  </w:abstractNum>
  <w:abstractNum w:abstractNumId="4">
    <w:nsid w:val="79838CB2"/>
    <w:multiLevelType w:val="hybridMultilevel"/>
    <w:lvl w:ilvl="0">
      <w:lvlJc w:val="left"/>
      <w:lvlText w:val="%1:"/>
      <w:numFmt w:val="upperLetter"/>
      <w:start w:val="1"/>
    </w:lvl>
  </w:abstractNum>
  <w:abstractNum w:abstractNumId="5">
    <w:nsid w:val="4353D0CD"/>
    <w:multiLevelType w:val="hybridMultilevel"/>
    <w:lvl w:ilvl="0">
      <w:lvlJc w:val="left"/>
      <w:lvlText w:val="%1:"/>
      <w:numFmt w:val="upperLetter"/>
      <w:start w:val="1"/>
    </w:lvl>
  </w:abstractNum>
  <w:abstractNum w:abstractNumId="6">
    <w:nsid w:val="B03E0C6"/>
    <w:multiLevelType w:val="hybridMultilevel"/>
    <w:lvl w:ilvl="0">
      <w:lvlJc w:val="left"/>
      <w:lvlText w:val="%1:"/>
      <w:numFmt w:val="upperLetter"/>
      <w:start w:val="1"/>
    </w:lvl>
  </w:abstractNum>
  <w:abstractNum w:abstractNumId="7">
    <w:nsid w:val="189A769B"/>
    <w:multiLevelType w:val="hybridMultilevel"/>
    <w:lvl w:ilvl="0">
      <w:lvlJc w:val="left"/>
      <w:lvlText w:val="%1:"/>
      <w:numFmt w:val="upperLetter"/>
      <w:start w:val="1"/>
    </w:lvl>
  </w:abstractNum>
  <w:abstractNum w:abstractNumId="8">
    <w:nsid w:val="54E49EB4"/>
    <w:multiLevelType w:val="hybridMultilevel"/>
    <w:lvl w:ilvl="0">
      <w:lvlJc w:val="left"/>
      <w:lvlText w:val="%1:"/>
      <w:numFmt w:val="upperLetter"/>
      <w:start w:val="1"/>
    </w:lvl>
  </w:abstractNum>
  <w:abstractNum w:abstractNumId="9">
    <w:nsid w:val="71F32454"/>
    <w:multiLevelType w:val="hybridMultilevel"/>
    <w:lvl w:ilvl="0">
      <w:lvlJc w:val="left"/>
      <w:lvlText w:val="%1:"/>
      <w:numFmt w:val="upperLetter"/>
      <w:start w:val="1"/>
    </w:lvl>
    <w:lvl w:ilvl="1">
      <w:lvlJc w:val="left"/>
      <w:lvlText w:val="•"/>
      <w:numFmt w:val="bullet"/>
      <w:start w:val="1"/>
    </w:lvl>
  </w:abstractNum>
  <w:abstractNum w:abstractNumId="10">
    <w:nsid w:val="2CA88611"/>
    <w:multiLevelType w:val="hybridMultilevel"/>
    <w:lvl w:ilvl="0">
      <w:lvlJc w:val="left"/>
      <w:lvlText w:val="%1:"/>
      <w:numFmt w:val="upperLetter"/>
      <w:start w:val="1"/>
    </w:lvl>
    <w:lvl w:ilvl="1">
      <w:lvlJc w:val="left"/>
      <w:lvlText w:val="✔"/>
      <w:numFmt w:val="bullet"/>
      <w:start w:val="1"/>
    </w:lvl>
  </w:abstractNum>
  <w:abstractNum w:abstractNumId="11">
    <w:nsid w:val="836C40E"/>
    <w:multiLevelType w:val="hybridMultilevel"/>
    <w:lvl w:ilvl="0">
      <w:lvlJc w:val="left"/>
      <w:lvlText w:val="%1"/>
      <w:numFmt w:val="upperLetter"/>
      <w:start w:val="1"/>
    </w:lvl>
    <w:lvl w:ilvl="1">
      <w:lvlJc w:val="left"/>
      <w:lvlText w:val="(%2)"/>
      <w:numFmt w:val="lowerRoman"/>
      <w:start w:val="1"/>
    </w:lvl>
  </w:abstractNum>
  <w:abstractNum w:abstractNumId="12">
    <w:nsid w:val="2901D82"/>
    <w:multiLevelType w:val="hybridMultilevel"/>
    <w:lvl w:ilvl="0">
      <w:lvlJc w:val="left"/>
      <w:lvlText w:val="%1:"/>
      <w:numFmt w:val="upperLetter"/>
      <w:start w:val="17"/>
    </w:lvl>
    <w:lvl w:ilvl="1">
      <w:lvlJc w:val="left"/>
      <w:lvlText w:val="%2"/>
      <w:numFmt w:val="lowerRoman"/>
      <w:start w:val="1"/>
    </w:lvl>
  </w:abstractNum>
  <w:abstractNum w:abstractNumId="13">
    <w:nsid w:val="3A95F874"/>
    <w:multiLevelType w:val="hybridMultilevel"/>
    <w:lvl w:ilvl="0">
      <w:lvlJc w:val="left"/>
      <w:lvlText w:val="%1:"/>
      <w:numFmt w:val="upperLetter"/>
      <w:start w:val="1"/>
    </w:lvl>
  </w:abstractNum>
  <w:abstractNum w:abstractNumId="14">
    <w:nsid w:val="8138641"/>
    <w:multiLevelType w:val="hybridMultilevel"/>
    <w:lvl w:ilvl="0">
      <w:lvlJc w:val="left"/>
      <w:lvlText w:val="%1:"/>
      <w:numFmt w:val="upperLetter"/>
      <w:start w:val="1"/>
    </w:lvl>
  </w:abstractNum>
  <w:abstractNum w:abstractNumId="15">
    <w:nsid w:val="1E7FF521"/>
    <w:multiLevelType w:val="hybridMultilevel"/>
    <w:lvl w:ilvl="0">
      <w:lvlJc w:val="left"/>
      <w:lvlText w:val="%1:"/>
      <w:numFmt w:val="upperLetter"/>
      <w:start w:val="1"/>
    </w:lvl>
  </w:abstractNum>
  <w:abstractNum w:abstractNumId="16">
    <w:nsid w:val="7C3DBD3D"/>
    <w:multiLevelType w:val="hybridMultilevel"/>
    <w:lvl w:ilvl="0">
      <w:lvlJc w:val="left"/>
      <w:lvlText w:val="%1:"/>
      <w:numFmt w:val="upperLetter"/>
      <w:start w:val="1"/>
    </w:lvl>
  </w:abstractNum>
  <w:abstractNum w:abstractNumId="17">
    <w:nsid w:val="737B8DDC"/>
    <w:multiLevelType w:val="hybridMultilevel"/>
    <w:lvl w:ilvl="0">
      <w:lvlJc w:val="left"/>
      <w:lvlText w:val="%1:"/>
      <w:numFmt w:val="upperLetter"/>
      <w:start w:val="1"/>
    </w:lvl>
  </w:abstractNum>
  <w:abstractNum w:abstractNumId="18">
    <w:nsid w:val="6CEAF087"/>
    <w:multiLevelType w:val="hybridMultilevel"/>
    <w:lvl w:ilvl="0">
      <w:lvlJc w:val="left"/>
      <w:lvlText w:val="%1:"/>
      <w:numFmt w:val="upperLetter"/>
      <w:start w:val="17"/>
    </w:lvl>
  </w:abstractNum>
  <w:abstractNum w:abstractNumId="19">
    <w:nsid w:val="22221A70"/>
    <w:multiLevelType w:val="hybridMultilevel"/>
    <w:lvl w:ilvl="0">
      <w:lvlJc w:val="left"/>
      <w:lvlText w:val="%1:"/>
      <w:numFmt w:val="upperLetter"/>
      <w:start w:val="1"/>
    </w:lvl>
  </w:abstractNum>
  <w:abstractNum w:abstractNumId="20">
    <w:nsid w:val="4516DDE9"/>
    <w:multiLevelType w:val="hybridMultilevel"/>
    <w:lvl w:ilvl="0">
      <w:lvlJc w:val="left"/>
      <w:lvlText w:val="%1:"/>
      <w:numFmt w:val="upperLetter"/>
      <w:start w:val="1"/>
    </w:lvl>
  </w:abstractNum>
  <w:abstractNum w:abstractNumId="21">
    <w:nsid w:val="3006C83E"/>
    <w:multiLevelType w:val="hybridMultilevel"/>
    <w:lvl w:ilvl="0">
      <w:lvlJc w:val="left"/>
      <w:lvlText w:val="%1:"/>
      <w:numFmt w:val="upperLetter"/>
      <w:start w:val="1"/>
    </w:lvl>
  </w:abstractNum>
  <w:abstractNum w:abstractNumId="22">
    <w:nsid w:val="614FD4A1"/>
    <w:multiLevelType w:val="hybridMultilevel"/>
    <w:lvl w:ilvl="0">
      <w:lvlJc w:val="left"/>
      <w:lvlText w:val="%1:"/>
      <w:numFmt w:val="upperLetter"/>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2"/>
    </w:lvl>
  </w:abstractNum>
  <w:abstractNum w:abstractNumId="41">
    <w:nsid w:val="1D4ED43B"/>
    <w:multiLevelType w:val="hybridMultilevel"/>
    <w:lvl w:ilvl="0">
      <w:lvlJc w:val="left"/>
      <w:lvlText w:val="%1."/>
      <w:numFmt w:val="decimal"/>
      <w:start w:val="3"/>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2"/>
    </w:lvl>
  </w:abstractNum>
  <w:abstractNum w:abstractNumId="44">
    <w:nsid w:val="57E4CCA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2025-06-17T15:07:30Z</dcterms:created>
  <dcterms:modified xsi:type="dcterms:W3CDTF">2025-06-17T15:07:30Z</dcterms:modified>
</cp:coreProperties>
</file>