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88265</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440" w:hanging="1297"/>
        <w:spacing w:after="0"/>
        <w:tabs>
          <w:tab w:leader="none" w:pos="1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4360" w:right="820" w:hanging="4224"/>
        <w:spacing w:after="0" w:line="412" w:lineRule="auto"/>
        <w:tabs>
          <w:tab w:leader="none" w:pos="12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88265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6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81-2701049</w:t>
            </w:r>
          </w:p>
        </w:tc>
      </w:tr>
      <w:tr>
        <w:trPr>
          <w:trHeight w:val="238"/>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302"/>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2025 SW Deerhound Avenue, Redmond, OR</w:t>
            </w:r>
          </w:p>
        </w:tc>
        <w:tc>
          <w:tcPr>
            <w:tcW w:w="372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97756</w:t>
            </w:r>
          </w:p>
        </w:tc>
      </w:tr>
      <w:tr>
        <w:trPr>
          <w:trHeight w:val="238"/>
        </w:trPr>
        <w:tc>
          <w:tcPr>
            <w:tcW w:w="56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(541) 797-6714</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5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9"/>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XPON</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 w:lineRule="exact"/>
        <w:rPr>
          <w:sz w:val="24"/>
          <w:szCs w:val="24"/>
          <w:color w:val="auto"/>
        </w:rPr>
      </w:pPr>
    </w:p>
    <w:p>
      <w:pPr>
        <w:ind w:right="1640"/>
        <w:spacing w:after="0" w:line="26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210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6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4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0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0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r>
      <w:tr>
        <w:trPr>
          <w:trHeight w:val="555"/>
        </w:trPr>
        <w:tc>
          <w:tcPr>
            <w:tcW w:w="3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sale price as reported by The Nasdaq Capital Market on June 30, 2025, the last business day of the registrant’s most recently completed second fiscal quarter, was approximately $3.1 million. Shares of common stock beneficially owned by each executive officer, director and holder of more than 10% of common stock have been excluded in that such persons may be deemed to be affiliates.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29, 2026, there were 11,438,298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1 on Form 10-K/A (this “Amendment No. 1”) amends the Annual Report on Form 10-K of Expion360 Inc., a Nevada corporation (“Expion360,” the “Company,” “we,” or “us”), for the fiscal year ended December 31, 2025 (the “Original Report”), filed with the U.S. Securities and Exchange Commission (the “SEC”) on March 17, 2026 (the “Original Filing Date”). The sole purpose of this Amendment No. 1 is to include the information required by Items 10 through 14 of Part III of Form 10-K (the “Part III Information”) and to delete the disclosure regarding incorporation by reference on the cover page of the Original Report.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 III Information was previously omitted from the Original Report in reliance on General Instruction G(3) to Form 10-K, which permits the information in the above referenced items to be incorporated in the Original Report by reference from our definitive proxy statement if such statement is filed no later than 120 days after the end of our fiscal year. We are filing this Amendment No. 1 to include the Part III Information in the Original Report because we will not file a definitive proxy statement containing such information within 120 days after the end of the fiscal year covered by the Original Report.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Rule 12b-15 under the Securities Exchange Act of 1934, as amended (the “Exchange Act”), the cover page and Part III, Items 10 through 14 of the Original Report are hereby amended and restated in their entirety. In addition, Item 15 of Part IV of the Original Report is hereby amended solely to include, as Exhibits 31.3 and 31.4, new certifications by our principal executive officer and principal financial officer pursuant to Rule 13a-14(a) under the Exchange Act, as adopted pursuant to Section 302 of the Sarbanes-Oxley Act of 2002. Because this Amendment No. 1 does not contain or amend any disclosure with respect to Items 307 and 308 of Regulation S-K or include financial statements or other financial information, (i) paragraphs 3, 4, and 5 of the certifications have been omitted, and (ii) no contemporaneously dated certifications pursuant to Section 906 of the Sarbanes-Oxley Act of 2002 are being filed as exhibits hereto.</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this Amendment No. 1 does not amend, update or change any other items or disclosures in the Original Report and does not purport to reflect any information or events subsequent to the Original Filing Date. As such, this Amendment No. 1 speaks only as of the Original Filing Date and we have not undertaken herein to amend, supplement or update any information contained in the Original Report to give effect to any subsequent events. Among other things, forward-looking statements made in the Original Report have not been revised to reflect events, results or developments that occurred or facts that became known to us after the Original Filing Date. Accordingly, this Amendment No. 1 should be read in conjunction with the Original Report and our filings made with the SEC subsequent to the Original Filing Date, including any amendments to those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5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80"/>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6520" w:type="dxa"/>
            <w:vAlign w:val="bottom"/>
            <w:gridSpan w:val="4"/>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23"/>
        </w:trPr>
        <w:tc>
          <w:tcPr>
            <w:tcW w:w="60" w:type="dxa"/>
            <w:vAlign w:val="bottom"/>
            <w:tcBorders>
              <w:top w:val="single" w:sz="8" w:color="0000EE"/>
            </w:tcBorders>
          </w:tcPr>
          <w:p>
            <w:pPr>
              <w:spacing w:after="0"/>
              <w:rPr>
                <w:sz w:val="19"/>
                <w:szCs w:val="19"/>
                <w:color w:val="auto"/>
              </w:rPr>
            </w:pPr>
          </w:p>
        </w:tc>
        <w:tc>
          <w:tcPr>
            <w:tcW w:w="520" w:type="dxa"/>
            <w:vAlign w:val="bottom"/>
            <w:tcBorders>
              <w:top w:val="single" w:sz="8" w:color="0000EE"/>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Part III</w:t>
            </w:r>
          </w:p>
        </w:tc>
        <w:tc>
          <w:tcPr>
            <w:tcW w:w="3580" w:type="dxa"/>
            <w:vAlign w:val="bottom"/>
            <w:tcBorders>
              <w:top w:val="single" w:sz="8" w:color="0000EE"/>
            </w:tcBorders>
            <w:gridSpan w:val="5"/>
          </w:tcPr>
          <w:p>
            <w:pPr>
              <w:spacing w:after="0"/>
              <w:rPr>
                <w:sz w:val="19"/>
                <w:szCs w:val="19"/>
                <w:color w:val="auto"/>
              </w:rPr>
            </w:pPr>
          </w:p>
        </w:tc>
        <w:tc>
          <w:tcPr>
            <w:tcW w:w="6520" w:type="dxa"/>
            <w:vAlign w:val="bottom"/>
            <w:gridSpan w:val="4"/>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5720" w:type="dxa"/>
            <w:vAlign w:val="bottom"/>
            <w:gridSpan w:val="3"/>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2300" w:type="dxa"/>
            <w:vAlign w:val="bottom"/>
            <w:gridSpan w:val="4"/>
          </w:tcPr>
          <w:p>
            <w:pPr>
              <w:spacing w:after="0"/>
              <w:rPr>
                <w:sz w:val="20"/>
                <w:szCs w:val="20"/>
                <w:color w:val="auto"/>
              </w:rPr>
            </w:pPr>
          </w:p>
        </w:tc>
        <w:tc>
          <w:tcPr>
            <w:tcW w:w="5720" w:type="dxa"/>
            <w:vAlign w:val="bottom"/>
            <w:gridSpan w:val="3"/>
          </w:tcPr>
          <w:p>
            <w:pPr>
              <w:spacing w:after="0"/>
              <w:rPr>
                <w:sz w:val="20"/>
                <w:szCs w:val="20"/>
                <w:color w:val="auto"/>
              </w:rPr>
            </w:pPr>
          </w:p>
        </w:tc>
        <w:tc>
          <w:tcPr>
            <w:tcW w:w="38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r>
      <w:tr>
        <w:trPr>
          <w:trHeight w:val="236"/>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80" w:type="dxa"/>
            <w:vAlign w:val="bottom"/>
            <w:tcBorders>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254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236"/>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20</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Borders>
              <w:top w:val="single" w:sz="8" w:color="0000EE"/>
              <w:bottom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2540" w:type="dxa"/>
            <w:vAlign w:val="bottom"/>
            <w:tcBorders>
              <w:top w:val="single" w:sz="8" w:color="0000EE"/>
            </w:tcBorders>
            <w:gridSpan w:val="4"/>
          </w:tcPr>
          <w:p>
            <w:pPr>
              <w:spacing w:after="0"/>
              <w:rPr>
                <w:sz w:val="20"/>
                <w:szCs w:val="20"/>
                <w:color w:val="auto"/>
              </w:rPr>
            </w:pPr>
          </w:p>
        </w:tc>
        <w:tc>
          <w:tcPr>
            <w:tcW w:w="4420" w:type="dxa"/>
            <w:vAlign w:val="bottom"/>
            <w:gridSpan w:val="2"/>
          </w:tcPr>
          <w:p>
            <w:pPr>
              <w:spacing w:after="0"/>
              <w:rPr>
                <w:sz w:val="20"/>
                <w:szCs w:val="20"/>
                <w:color w:val="auto"/>
              </w:rPr>
            </w:pPr>
          </w:p>
        </w:tc>
        <w:tc>
          <w:tcPr>
            <w:tcW w:w="380" w:type="dxa"/>
            <w:vAlign w:val="bottom"/>
            <w:gridSpan w:val="2"/>
          </w:tcPr>
          <w:p>
            <w:pPr>
              <w:spacing w:after="0"/>
              <w:rPr>
                <w:sz w:val="20"/>
                <w:szCs w:val="20"/>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237"/>
        </w:trPr>
        <w:tc>
          <w:tcPr>
            <w:tcW w:w="60" w:type="dxa"/>
            <w:vAlign w:val="bottom"/>
          </w:tcPr>
          <w:p>
            <w:pPr>
              <w:spacing w:after="0"/>
              <w:rPr>
                <w:sz w:val="20"/>
                <w:szCs w:val="20"/>
                <w:color w:val="auto"/>
              </w:rPr>
            </w:pPr>
          </w:p>
        </w:tc>
        <w:tc>
          <w:tcPr>
            <w:tcW w:w="10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Part IV</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Item 15. Exhibits, Financial Statement Schedules</w:t>
            </w:r>
          </w:p>
        </w:tc>
        <w:tc>
          <w:tcPr>
            <w:tcW w:w="6920" w:type="dxa"/>
            <w:vAlign w:val="bottom"/>
            <w:gridSpan w:val="5"/>
          </w:tcPr>
          <w:p>
            <w:pPr>
              <w:spacing w:after="0"/>
              <w:rPr>
                <w:sz w:val="20"/>
                <w:szCs w:val="20"/>
                <w:color w:val="auto"/>
              </w:rPr>
            </w:pPr>
          </w:p>
        </w:tc>
        <w:tc>
          <w:tcPr>
            <w:tcW w:w="38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237"/>
        </w:trPr>
        <w:tc>
          <w:tcPr>
            <w:tcW w:w="60" w:type="dxa"/>
            <w:vAlign w:val="bottom"/>
          </w:tcPr>
          <w:p>
            <w:pPr>
              <w:spacing w:after="0"/>
              <w:rPr>
                <w:sz w:val="20"/>
                <w:szCs w:val="20"/>
                <w:color w:val="auto"/>
              </w:rPr>
            </w:pPr>
          </w:p>
        </w:tc>
        <w:tc>
          <w:tcPr>
            <w:tcW w:w="10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608"/>
        </w:trPr>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-1550670</wp:posOffset>
            </wp:positionV>
            <wp:extent cx="28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-1388110</wp:posOffset>
            </wp:positionV>
            <wp:extent cx="2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-1225550</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-899795</wp:posOffset>
            </wp:positionV>
            <wp:extent cx="28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-574040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1 includes “forward-looking statements” within the meaning of Section 27A of the Securities Act of 1933, as amended (the “Securities Act”), and Section 21E of the Exchange Act. All statements in this Amendment No. 1,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Amendment No. 1 are made as of the date hereof and are based on information available to us as of such date. We assume no obligation to update any forward-looking statement. In some cases, forward-looking statements can be identified by the use of terminology such as “may,” “will,” “expects,” “plans,” “should,” “anticipates,” “intends,” “seeks,” “believes,” “estimates,” “potential,”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Actual results will likely differ, and could differ materially, from those projected or assumed in the forward-looking statements. Prospective investors are cautioned not to unduly rely on any such forward-looking statements.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those described in the Original Report, as well as the other reports we file with the SEC from time to time.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(our “Board”) consists of six directors, and each director’s term expires at each annual meeting of stockholders. Our executive officers are appointed by the directors and the directors may, at any time, terminate the appointment or otherwise revoke, withdraw, alter, or vary all or any of the functions, duties, and powers of the officer.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positions, and a brief account of business experience, of the individuals who serve as our executive officers and directors as of the date of this filing: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Age</w:t>
            </w:r>
          </w:p>
        </w:tc>
        <w:tc>
          <w:tcPr>
            <w:tcW w:w="740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220" w:type="dxa"/>
            <w:vAlign w:val="bottom"/>
          </w:tcPr>
          <w:p>
            <w:pPr>
              <w:spacing w:after="0"/>
              <w:rPr>
                <w:sz w:val="16"/>
                <w:szCs w:val="16"/>
                <w:color w:val="auto"/>
              </w:rPr>
            </w:pPr>
          </w:p>
        </w:tc>
        <w:tc>
          <w:tcPr>
            <w:tcW w:w="7400" w:type="dxa"/>
            <w:vAlign w:val="bottom"/>
          </w:tcPr>
          <w:p>
            <w:pPr>
              <w:spacing w:after="0"/>
              <w:rPr>
                <w:sz w:val="16"/>
                <w:szCs w:val="16"/>
                <w:color w:val="auto"/>
              </w:rPr>
            </w:pPr>
          </w:p>
        </w:tc>
      </w:tr>
      <w:tr>
        <w:trPr>
          <w:trHeight w:val="216"/>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Joseph Hammer</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Shawna Bowin</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Carson Heagen</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17"/>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220" w:type="dxa"/>
            <w:vAlign w:val="bottom"/>
          </w:tcPr>
          <w:p>
            <w:pPr>
              <w:spacing w:after="0"/>
              <w:rPr>
                <w:sz w:val="24"/>
                <w:szCs w:val="24"/>
                <w:color w:val="auto"/>
              </w:rPr>
            </w:pPr>
          </w:p>
        </w:tc>
        <w:tc>
          <w:tcPr>
            <w:tcW w:w="7400" w:type="dxa"/>
            <w:vAlign w:val="bottom"/>
          </w:tcPr>
          <w:p>
            <w:pPr>
              <w:spacing w:after="0"/>
              <w:rPr>
                <w:sz w:val="24"/>
                <w:szCs w:val="24"/>
                <w:color w:val="auto"/>
              </w:rPr>
            </w:pPr>
          </w:p>
        </w:tc>
      </w:tr>
      <w:tr>
        <w:trPr>
          <w:trHeight w:val="257"/>
        </w:trPr>
        <w:tc>
          <w:tcPr>
            <w:tcW w:w="262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(1)</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262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 xml:space="preserve">George Lefevre </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53"/>
        </w:trPr>
        <w:tc>
          <w:tcPr>
            <w:tcW w:w="2620" w:type="dxa"/>
            <w:vAlign w:val="bottom"/>
          </w:tcPr>
          <w:p>
            <w:pPr>
              <w:ind w:left="100"/>
              <w:spacing w:after="0" w:line="252" w:lineRule="exact"/>
              <w:rPr>
                <w:sz w:val="20"/>
                <w:szCs w:val="20"/>
                <w:color w:val="auto"/>
              </w:rPr>
            </w:pPr>
            <w:r>
              <w:rPr>
                <w:rFonts w:ascii="Times New Roman" w:cs="Times New Roman" w:eastAsia="Times New Roman" w:hAnsi="Times New Roman"/>
                <w:sz w:val="18"/>
                <w:szCs w:val="18"/>
                <w:color w:val="auto"/>
              </w:rPr>
              <w:t xml:space="preserve">Tien Q. Nguyen </w:t>
            </w:r>
            <w:r>
              <w:rPr>
                <w:rFonts w:ascii="Times New Roman" w:cs="Times New Roman" w:eastAsia="Times New Roman" w:hAnsi="Times New Roman"/>
                <w:sz w:val="29"/>
                <w:szCs w:val="29"/>
                <w:color w:val="auto"/>
                <w:vertAlign w:val="superscript"/>
              </w:rPr>
              <w:t>(3)</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0"/>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Brian Schaffner</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73"/>
        </w:trPr>
        <w:tc>
          <w:tcPr>
            <w:tcW w:w="2620" w:type="dxa"/>
            <w:vAlign w:val="bottom"/>
          </w:tcPr>
          <w:p>
            <w:pPr>
              <w:ind w:left="100"/>
              <w:spacing w:after="0" w:line="273" w:lineRule="exact"/>
              <w:rPr>
                <w:sz w:val="20"/>
                <w:szCs w:val="20"/>
                <w:color w:val="auto"/>
              </w:rPr>
            </w:pPr>
            <w:r>
              <w:rPr>
                <w:rFonts w:ascii="Times New Roman" w:cs="Times New Roman" w:eastAsia="Times New Roman" w:hAnsi="Times New Roman"/>
                <w:sz w:val="18"/>
                <w:szCs w:val="18"/>
                <w:color w:val="auto"/>
              </w:rPr>
              <w:t>Steven M. Shum</w:t>
            </w:r>
            <w:r>
              <w:rPr>
                <w:rFonts w:ascii="Times New Roman" w:cs="Times New Roman" w:eastAsia="Times New Roman" w:hAnsi="Times New Roman"/>
                <w:sz w:val="29"/>
                <w:szCs w:val="29"/>
                <w:color w:val="auto"/>
                <w:vertAlign w:val="superscript"/>
              </w:rPr>
              <w:t>(4)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and member of the Compensation Committee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member of the Audit Committee and Compensation Committee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member of the Audit Committee and Nominating and Corporate Governance Committee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Compensation Committee, and Nominating and Corporate Governance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Joseph Hammer – Chief Executive Officer and Chairman of the Board</w:t>
      </w:r>
      <w:r>
        <w:rPr>
          <w:rFonts w:ascii="Times New Roman" w:cs="Times New Roman" w:eastAsia="Times New Roman" w:hAnsi="Times New Roman"/>
          <w:sz w:val="18"/>
          <w:szCs w:val="18"/>
          <w:color w:val="auto"/>
        </w:rPr>
        <w:t>. Mr. Hammer has served as our Chief Executive Officer and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since October 2025. Mr. Hammer has served as the Chief Investing Officer at LHX Corp. (“LHX”), a family office service company for a single family, since February 2025 and, prior to that, served as Chief Investing Officer of LH Financial since 2010. LHX evaluates investment opportunities in a wide variety of asset classes including public companies, private companies, merger candidates, development stage companies, technology institutions, startup incubators, and other ventures to determine if they fit within the framework of the family office’s investment criteria. As the CIO, Mr. Hammer sources potential investments for the family office and provides continued guidance for many of the family’s investments and mergers, and in particular, within the Middle East. In addition, Mr. Hammer originates numerous charitable endeavors and relationships for LHX and the family, including organizations that foster education, family, and health across North America, Israel, and elsewhere. Mr. Hammer has served as the chairman of the board of Trailblazer Merger Corporation I (Nasdaq: TBMC) since 2023. In addition, since 2016, Mr. Hammer has served as a member of the board of directors of Gratitude Railroad LLC, a community of investors operating an alternative investment platform, who are inspired and dedicated to solving environmental and social problems through the profitable deployment of financial, intellectual, and human capital. Mr. Hammer is the founder of The JDH Foundation, a 501(c)3 charitable organization he founded in 2020 that supports local and international charitable causes. He is also the chairman of the executive committee of Chai Lifeline, Inc., a health support network for children, families and communities impacted by serious illness or loss, and has served in this role since September 2022. We believe Mr. Hammer is qualified to serve on our Board because of his expertise as a veteran financial executive and experienced board director.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lef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Shawna Bowin – Chief Financial Officer</w:t>
      </w:r>
      <w:r>
        <w:rPr>
          <w:rFonts w:ascii="Times New Roman" w:cs="Times New Roman" w:eastAsia="Times New Roman" w:hAnsi="Times New Roman"/>
          <w:sz w:val="18"/>
          <w:szCs w:val="18"/>
          <w:color w:val="auto"/>
        </w:rPr>
        <w:t>. Ms. Bowin has served as our Chief Financial Officer since September 2025. Ms. Bowin brings over 20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accounting. Ms. Bowin joined the Company in January 2022 as Senior Accountant and was promoted to Controller in February 2025. Her prior experience includes serving as Accounting Manager at Hodge Western Corp. from 2021 to 2022, and as Office Manager overseeing all accounting duties at JTS Animal Bedding from 2014 to 2021. Ms. Bowin previously held several accounting-related roles from 2001 to 2014 at American Licorice Company, a large privately held manufacturing company. Ms. Bowin holds a Bachelor of Science in Accounting from Linfield College, and is currently pursuing a Master of Business Administration with a concentration in Accounting from Louisiana State University – Shreveport’s College of Business.</w:t>
      </w:r>
    </w:p>
    <w:p>
      <w:pPr>
        <w:spacing w:after="0" w:line="182"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Carson Heagen – Chief Operating Officer</w:t>
      </w:r>
      <w:r>
        <w:rPr>
          <w:rFonts w:ascii="Times New Roman" w:cs="Times New Roman" w:eastAsia="Times New Roman" w:hAnsi="Times New Roman"/>
          <w:sz w:val="18"/>
          <w:szCs w:val="18"/>
          <w:color w:val="auto"/>
        </w:rPr>
        <w:t>. Mr. Heagen has served as our Chief Operating Officer since April 2025. Mr. Heagen brings over ten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business management, operations, finance, supply chain management, product development, and enterprise resource planning (“ERP”) systems. Since joining the Company in April 2021 as the Director of Finance, Mr. Heagen quickly advanced to Vice President of Operations by November 2021. Mr. Heagen oversees the Company’s international supply chain and manufacturing, warehouse, and logistics operations, serves as the Company’s NetSuite ERP administrator, and manages the Company’s marketing initiatives. Prior to joining the Company, Mr. Heagen served as Purchasing and Supply Chain Manager at Stout Tanks &amp; Kettles from January 2020 to April 2021 and Purchasing, Logistics, and Customer Service Manager at Tensility International Corporation from January 2017 to December 2019. Mr. Heagen’s previous experience highlights his experience in optimizing global supply chains and managing operations for tech-focused companies. Mr. Heagen holds a Bachelor of Business Administration in both Business Management and Entrepreneurial Management from Boise State University’s College of Business and Economics.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Burell – Independent Director. </w:t>
      </w:r>
      <w:r>
        <w:rPr>
          <w:rFonts w:ascii="Times New Roman" w:cs="Times New Roman" w:eastAsia="Times New Roman" w:hAnsi="Times New Roman"/>
          <w:sz w:val="18"/>
          <w:szCs w:val="18"/>
          <w:color w:val="auto"/>
        </w:rPr>
        <w:t>Mr. Burell has served as a member of our Board since October 2025. Mr. Burell is a seasoned healthcare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with over two decades of experience leading public life sciences companies through complex transactions and growth phases. Mr. Burell previously served as the Chief Financial Officer of Trailblazer Merger Corporation I (Nasdaq: TBMC) from April 2022 to March 2026. Mr. Burell currently serves as Chief Financial Officer of AIVITA Biomedical, Inc. (“AIVITA”), a personalized vaccine company, a position he has held since 2018. Prior to joining AIVITA, from 2006 to 2017, Mr. Burell served as Chief Financial Officer of CombiMatrix Corporation (Nasdaq: CBMX) through its successful acquisition by Invitae Corporation (NYSE: NVTA) in 2017. He has a proven track record in leading public and private debt and equity financing transactions, corporate reorganizations, and complex merger and acquisition activities. Mr. Burell has also served on several Boards of Directors, including Microbot Medical, Inc. (Nasdaq: MBOT), a medical device company specializing in the researching, designing, developing and commercializing of transformational micro-robotics medical technologies, since December 2016. He also previously served on the board of directors of DIH Holding US, Inc., (Nasdaq: DHAI), a global provider of advanced robotic devices used in physical rehabilitation, from August 2025 to February 2026. He holds a Bachelor of Science in Accounting and Business Finance from Central Washington University and is a certified public accountant (currently inactive). We believe Mr. Burell is qualified to serve on our Board because of his extensive experience serving in leadership roles at publicly traded companies.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George Lefevre – Independent Director</w:t>
      </w:r>
      <w:r>
        <w:rPr>
          <w:rFonts w:ascii="Times New Roman" w:cs="Times New Roman" w:eastAsia="Times New Roman" w:hAnsi="Times New Roman"/>
          <w:sz w:val="18"/>
          <w:szCs w:val="18"/>
          <w:color w:val="auto"/>
        </w:rPr>
        <w:t>. Mr. Lefevre has served as a member of our Board since March 2022. He is a business consultant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development and structural guidance for companies. From 2009 through 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Tien Q. Nguyen – Independent Director</w:t>
      </w:r>
      <w:r>
        <w:rPr>
          <w:rFonts w:ascii="Times New Roman" w:cs="Times New Roman" w:eastAsia="Times New Roman" w:hAnsi="Times New Roman"/>
          <w:sz w:val="18"/>
          <w:szCs w:val="18"/>
          <w:color w:val="auto"/>
        </w:rPr>
        <w:t>. Mr. Nguyen has served as a member of our Board since August 2023. He is an entrepreneur and executive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expertise in engineering, technology, wireless systems, and energy storage. Mr. Nguyen has been managing personal and family investments from 2021 until the present. He was a partner in Lumini Partner LLC, which supported and studied international energy industrial projects using microgrid systems to reduce utility dependency, from 2019 to 2020. Mr. Nguyen was the founder of FitTech Software LLC, an artificial intelligence software company in the health and fitness industry, and served as the Chairman from 2016 until 2019. From 2012 to 2016, he served as the Chief Executive Officer of Quantum Energy Storage Corporation, an energy storage company. Previously, Nr. Nguyen served as the Chief Strategy Officer of Onramp Wireless Inc. from 2010 to 2012 and the Chief Executive Officer of AppleTree Educational LLC from 2007 to 2010. Mr. Nguyen was also the founder of CommASIC Inc., a leading wireless semiconductor broadband company, which was acquired by Freescale Semiconductor in 2005. He served as a member of the board of directors of Freescale Semiconductor from 2005 until 2007. Prior to founding CommASIC Inc., Mr. Nguyen served as the Chief Executive Officer of Linskys Consulting from 1997 until 2001. Mr. Nguyen began his career at General Dynamics Corp. (NYSE: GD) and Qualcomm Inc. (Nasdaq: QCOM), where he was focused on ASIC engineering. He holds a Bachelor of Science in Electrical Engineering from San Diego State University. We believe Mr. Nguyen is qualified to serve as a member of our Board because of his experience serving as an executive in various industries and his extensive experience in the energy storage industry.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Schaffner – Director. </w:t>
      </w:r>
      <w:r>
        <w:rPr>
          <w:rFonts w:ascii="Times New Roman" w:cs="Times New Roman" w:eastAsia="Times New Roman" w:hAnsi="Times New Roman"/>
          <w:sz w:val="18"/>
          <w:szCs w:val="18"/>
          <w:color w:val="auto"/>
        </w:rPr>
        <w:t>Mr. Schaffner previously served as our Chief Executive Officer from January 2023 to October 2025, as our Interim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from January 2025 to September 2025, and is currently a member of our Board since August 2023. Mr. Schaffner previously served as our Chief Financial Officer beginning in March 2021. Mr. Schaffner also serves as a Professor of Business and Accounting at Walla Walla University, a position he has held since July 2021. He previously served as Vice Principal of Finance for Monterey Bay Academy from March 2019 to June 2021, and Vice Principal of Finance for Mount Ellis Academy from July 2015 to February 2018. Mr. Schaffner also served as the Development, Recruiting, Marketing and Alumni Relations Director of Mount Ellis Academy from March 2018 to February 2019. Over the past three decades, he has served in a variety of executive leadership roles in senior-living, assisted-living skilled nursing facilities, retail stores and schools. In addition, his educational instructional experience includes courses at the secondary school and university levels, including accounting, cost accounting, management, personal finance, welding, auto mechanics and aviation ground school. Mr. Schaffner holds a Bachelor of Science in Business Administration and Accounting from Walla Walla College and a Master of Business Administration from the University of Phoenix. We believe Mr. Schaffner is qualified to serve as a member of our Board because of his executive leadership experience and extensive knowledge of our Company and industry.</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M. Shum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Independent Director. </w:t>
      </w:r>
      <w:r>
        <w:rPr>
          <w:rFonts w:ascii="Times New Roman" w:cs="Times New Roman" w:eastAsia="Times New Roman" w:hAnsi="Times New Roman"/>
          <w:sz w:val="18"/>
          <w:szCs w:val="18"/>
          <w:color w:val="auto"/>
        </w:rPr>
        <w:t>Mr. Shum has served as a member of our Board since March 2022. Since October 2019, Mr. Shum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Executive Officer and, since October 2017, as a member of the board of directors, of INVO Fertility, Inc. (Nasdaq: IVF),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GEDC).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separately designated standing audit committee (the “Audit Committee”) established in accordance with Section 3(a)(58)(A) of the Exchange Act. Our Audit Committee consists of Messrs. Burell, Lefevre, Shum and Nguyen, each of whom meet the requirements for independence under the rules of The Nasdaq Stock Market LLC (“Nasdaq”) and SEC rules and regulations and is financially literate. Mr. Burell is the chair of our Audit Committee. In addition, our Board has determined that each of Messrs. Burell and Shum qualifies as an “audit committee financial expert” as such term is defined under SEC rules and regulations, and meets the requirement under the applicable Nasdaq rules that the Audit Committee have a financially sophisticated member.. Our Board has considered the independence and other characteristics of each member of our Audit Committee and believes that each member meets the independence and other requirements of Nasdaq and the SEC. Our Audit Committee operates under a written charter that satisfies the applicable standards of SEC and Nasdaq.</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Changes to Procedures for Stockholder Nominations for Directorships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2025 to the process by which our stockholders may recommend nominees to our Board since we last provided disclosure of such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3, 2022, our Board adopted a written code of business conduct and ethics (our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 w:cs="Times New Roman" w:eastAsia="Times New Roman" w:hAnsi="Times New Roman"/>
          <w:sz w:val="18"/>
          <w:szCs w:val="18"/>
          <w:i w:val="1"/>
          <w:iCs w:val="1"/>
          <w:color w:val="auto"/>
        </w:rPr>
        <w:t>www.investors.expion360.com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Amendment No. 1 does not include or incorporate by reference the information on our website into this Amendment No. 1 or any of our other SEC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 and Other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 There are no arrangements or understandings between or among our executive officers and directors pursuant to which any director or executive officer was or is to be selected as a director or executive officer.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October 16, 2025, the Company entered into a securities purchase agreement (the “Purchase Agreement”) with two institutional investors pursuant to which the Company agreed to sell in a private placement (the “Private Placement”) an aggregate of (i) 613,077 shares of common stock, par value $0.001 per share, of the Company (“Common Stock”), and (ii) a pre-funded warrant to purchase up to 144,498 shares of Common Stock. In connection with the closing of the Private Placement and pursuant to the Purchase Agreement, the Board appointed Joseph Hammer as Chief Executive Officer and Chairman of the Board and Scott Burell as a member of the Board. The lead investor in the Private Placement was Pioneer Capital Anstalt, which is advised by Mr. Hammer and LHX.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legal proceedings involving any of our directors or executive officers which require disclosure pursuant to applicable SEC rules.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Table” below. In 2025, our “named executive officers” and their positions were:</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Joseph Hammer</w:t>
      </w:r>
      <w:r>
        <w:rPr>
          <w:rFonts w:ascii="Times New Roman" w:cs="Times New Roman" w:eastAsia="Times New Roman" w:hAnsi="Times New Roman"/>
          <w:sz w:val="18"/>
          <w:szCs w:val="18"/>
          <w:color w:val="auto"/>
        </w:rPr>
        <w:t>, who has served as our Chief Executive Officer and as the Chairman of the Board since October 2025;</w:t>
      </w:r>
    </w:p>
    <w:p>
      <w:pPr>
        <w:spacing w:after="0" w:line="279"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Brian Schaffner</w:t>
      </w:r>
      <w:r>
        <w:rPr>
          <w:rFonts w:ascii="Times New Roman" w:cs="Times New Roman" w:eastAsia="Times New Roman" w:hAnsi="Times New Roman"/>
          <w:sz w:val="18"/>
          <w:szCs w:val="18"/>
          <w:color w:val="auto"/>
        </w:rPr>
        <w:t>, who served as our Chief Executive Officer through October 2025, and as our Interim Chief Financial Officer through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currently serves as a member of our Board;</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Paul Shoun</w:t>
      </w:r>
      <w:r>
        <w:rPr>
          <w:rFonts w:ascii="Times New Roman" w:cs="Times New Roman" w:eastAsia="Times New Roman" w:hAnsi="Times New Roman"/>
          <w:sz w:val="18"/>
          <w:szCs w:val="18"/>
          <w:color w:val="auto"/>
        </w:rPr>
        <w:t>, who served as our Co-Founder, President, and Chairman of the Board through October 2025; and as our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April 2025;</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Carson Heagen</w:t>
      </w:r>
      <w:r>
        <w:rPr>
          <w:rFonts w:ascii="Times New Roman" w:cs="Times New Roman" w:eastAsia="Times New Roman" w:hAnsi="Times New Roman"/>
          <w:sz w:val="18"/>
          <w:szCs w:val="18"/>
          <w:color w:val="auto"/>
        </w:rPr>
        <w:t>, who has served as our Chief Operating Officer since April 2025;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Shawna Bowin</w:t>
      </w:r>
      <w:r>
        <w:rPr>
          <w:rFonts w:ascii="Times New Roman" w:cs="Times New Roman" w:eastAsia="Times New Roman" w:hAnsi="Times New Roman"/>
          <w:sz w:val="18"/>
          <w:szCs w:val="18"/>
          <w:color w:val="auto"/>
        </w:rPr>
        <w:t>, who has served as our Chief Financial Officer since September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December 31, 2024. The amounts set forth in the table have been calculated in accordance with the requirements of applicable SEC rules, and do not necessarily reflect the amounts that have actually been paid to, or which may be realized by, our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RSU Awards ($)</w:t>
            </w:r>
          </w:p>
        </w:tc>
        <w:tc>
          <w:tcPr>
            <w:tcW w:w="14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vMerge w:val="continue"/>
          </w:tcPr>
          <w:p>
            <w:pPr>
              <w:spacing w:after="0"/>
              <w:rPr>
                <w:sz w:val="12"/>
                <w:szCs w:val="12"/>
                <w:color w:val="auto"/>
              </w:rPr>
            </w:pPr>
          </w:p>
        </w:tc>
        <w:tc>
          <w:tcPr>
            <w:tcW w:w="14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tcBorders>
              <w:bottom w:val="single" w:sz="8" w:color="auto"/>
            </w:tcBorders>
          </w:tcPr>
          <w:p>
            <w:pPr>
              <w:jc w:val="center"/>
              <w:ind w:left="36"/>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(1)</w:t>
            </w:r>
          </w:p>
        </w:tc>
        <w:tc>
          <w:tcPr>
            <w:tcW w:w="760" w:type="dxa"/>
            <w:vAlign w:val="bottom"/>
            <w:tcBorders>
              <w:bottom w:val="single" w:sz="8" w:color="auto"/>
            </w:tcBorders>
          </w:tcPr>
          <w:p>
            <w:pPr>
              <w:jc w:val="center"/>
              <w:ind w:left="18"/>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4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Joseph Hammer</w:t>
            </w:r>
            <w:r>
              <w:rPr>
                <w:rFonts w:ascii="Times New Roman" w:cs="Times New Roman" w:eastAsia="Times New Roman" w:hAnsi="Times New Roman"/>
                <w:sz w:val="29"/>
                <w:szCs w:val="29"/>
                <w:color w:val="auto"/>
                <w:vertAlign w:val="superscript"/>
              </w:rPr>
              <w:t>(4)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6"/>
              </w:rPr>
              <w:t>68,750</w:t>
            </w:r>
          </w:p>
        </w:tc>
        <w:tc>
          <w:tcPr>
            <w:tcW w:w="9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ind w:right="197"/>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8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the Board</w:t>
            </w:r>
          </w:p>
        </w:tc>
        <w:tc>
          <w:tcPr>
            <w:tcW w:w="1000" w:type="dxa"/>
            <w:vAlign w:val="bottom"/>
            <w:vMerge w:val="continue"/>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15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Schaffner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rPr>
              <w:t>223,567</w:t>
            </w:r>
          </w:p>
        </w:tc>
        <w:tc>
          <w:tcPr>
            <w:tcW w:w="96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179,206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42,344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161,550</w:t>
            </w:r>
          </w:p>
        </w:tc>
        <w:tc>
          <w:tcPr>
            <w:tcW w:w="1460" w:type="dxa"/>
            <w:vAlign w:val="bottom"/>
          </w:tcPr>
          <w:p>
            <w:pPr>
              <w:jc w:val="center"/>
              <w:ind w:right="177"/>
              <w:spacing w:after="0" w:line="231" w:lineRule="exact"/>
              <w:rPr>
                <w:sz w:val="20"/>
                <w:szCs w:val="20"/>
                <w:color w:val="auto"/>
              </w:rPr>
            </w:pPr>
            <w:r>
              <w:rPr>
                <w:rFonts w:ascii="Times New Roman" w:cs="Times New Roman" w:eastAsia="Times New Roman" w:hAnsi="Times New Roman"/>
                <w:sz w:val="16"/>
                <w:szCs w:val="16"/>
                <w:color w:val="auto"/>
              </w:rPr>
              <w:t>692,417</w:t>
            </w:r>
            <w:r>
              <w:rPr>
                <w:rFonts w:ascii="Times New Roman" w:cs="Times New Roman" w:eastAsia="Times New Roman" w:hAnsi="Times New Roman"/>
                <w:sz w:val="26"/>
                <w:szCs w:val="26"/>
                <w:color w:val="auto"/>
                <w:vertAlign w:val="superscript"/>
              </w:rPr>
              <w:t>(5)</w:t>
            </w:r>
          </w:p>
        </w:tc>
        <w:tc>
          <w:tcPr>
            <w:tcW w:w="154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1,299,084</w:t>
            </w:r>
          </w:p>
        </w:tc>
        <w:tc>
          <w:tcPr>
            <w:tcW w:w="0" w:type="dxa"/>
            <w:vAlign w:val="bottom"/>
          </w:tcPr>
          <w:p>
            <w:pPr>
              <w:spacing w:after="0"/>
              <w:rPr>
                <w:sz w:val="1"/>
                <w:szCs w:val="1"/>
                <w:color w:val="auto"/>
              </w:rPr>
            </w:pPr>
          </w:p>
        </w:tc>
      </w:tr>
      <w:tr>
        <w:trPr>
          <w:trHeight w:val="275"/>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tcBorders>
              <w:bottom w:val="single" w:sz="8" w:color="auto"/>
            </w:tcBorders>
          </w:tcPr>
          <w:p>
            <w:pPr>
              <w:jc w:val="center"/>
              <w:ind w:left="34"/>
              <w:spacing w:after="0" w:line="274" w:lineRule="exact"/>
              <w:rPr>
                <w:sz w:val="20"/>
                <w:szCs w:val="20"/>
                <w:color w:val="auto"/>
              </w:rPr>
            </w:pPr>
            <w:r>
              <w:rPr>
                <w:rFonts w:ascii="Times New Roman" w:cs="Times New Roman" w:eastAsia="Times New Roman" w:hAnsi="Times New Roman"/>
                <w:sz w:val="18"/>
                <w:szCs w:val="18"/>
                <w:color w:val="auto"/>
                <w:w w:val="93"/>
              </w:rPr>
              <w:t>282,400</w:t>
            </w:r>
            <w:r>
              <w:rPr>
                <w:rFonts w:ascii="Times New Roman" w:cs="Times New Roman" w:eastAsia="Times New Roman" w:hAnsi="Times New Roman"/>
                <w:sz w:val="29"/>
                <w:szCs w:val="29"/>
                <w:color w:val="auto"/>
                <w:w w:val="93"/>
                <w:vertAlign w:val="superscript"/>
              </w:rPr>
              <w:t>(6)</w:t>
            </w:r>
          </w:p>
        </w:tc>
        <w:tc>
          <w:tcPr>
            <w:tcW w:w="96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12,176</w:t>
            </w:r>
          </w:p>
        </w:tc>
        <w:tc>
          <w:tcPr>
            <w:tcW w:w="14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8"/>
                <w:szCs w:val="18"/>
                <w:color w:val="auto"/>
                <w:w w:val="99"/>
              </w:rPr>
              <w:t>294,576</w:t>
            </w: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Paul Shoun</w:t>
            </w:r>
            <w:r>
              <w:rPr>
                <w:rFonts w:ascii="Times New Roman" w:cs="Times New Roman" w:eastAsia="Times New Roman" w:hAnsi="Times New Roman"/>
                <w:sz w:val="28"/>
                <w:szCs w:val="28"/>
                <w:color w:val="auto"/>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219,675</w:t>
            </w:r>
          </w:p>
        </w:tc>
        <w:tc>
          <w:tcPr>
            <w:tcW w:w="96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184,206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45,031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161,550</w:t>
            </w:r>
          </w:p>
        </w:tc>
        <w:tc>
          <w:tcPr>
            <w:tcW w:w="1460" w:type="dxa"/>
            <w:vAlign w:val="bottom"/>
            <w:shd w:val="clear" w:color="auto" w:fill="CCEEFF"/>
          </w:tcPr>
          <w:p>
            <w:pPr>
              <w:jc w:val="center"/>
              <w:ind w:right="177"/>
              <w:spacing w:after="0" w:line="250" w:lineRule="exact"/>
              <w:rPr>
                <w:sz w:val="20"/>
                <w:szCs w:val="20"/>
                <w:color w:val="auto"/>
              </w:rPr>
            </w:pPr>
            <w:r>
              <w:rPr>
                <w:rFonts w:ascii="Times New Roman" w:cs="Times New Roman" w:eastAsia="Times New Roman" w:hAnsi="Times New Roman"/>
                <w:sz w:val="17"/>
                <w:szCs w:val="17"/>
                <w:color w:val="auto"/>
                <w:w w:val="98"/>
              </w:rPr>
              <w:t>734,956</w:t>
            </w:r>
            <w:r>
              <w:rPr>
                <w:rFonts w:ascii="Times New Roman" w:cs="Times New Roman" w:eastAsia="Times New Roman" w:hAnsi="Times New Roman"/>
                <w:sz w:val="28"/>
                <w:szCs w:val="28"/>
                <w:color w:val="auto"/>
                <w:w w:val="98"/>
                <w:vertAlign w:val="superscript"/>
              </w:rPr>
              <w:t>(8)</w:t>
            </w:r>
          </w:p>
        </w:tc>
        <w:tc>
          <w:tcPr>
            <w:tcW w:w="154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9"/>
              </w:rPr>
              <w:t>1,345,418</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Former President, Chief Operating</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3"/>
              </w:rPr>
              <w:t>234,050</w:t>
            </w:r>
            <w:r>
              <w:rPr>
                <w:rFonts w:ascii="Times New Roman" w:cs="Times New Roman" w:eastAsia="Times New Roman" w:hAnsi="Times New Roman"/>
                <w:sz w:val="29"/>
                <w:szCs w:val="29"/>
                <w:color w:val="auto"/>
                <w:w w:val="93"/>
                <w:vertAlign w:val="superscript"/>
              </w:rPr>
              <w:t>(9)</w:t>
            </w:r>
          </w:p>
        </w:tc>
        <w:tc>
          <w:tcPr>
            <w:tcW w:w="960" w:type="dxa"/>
            <w:vAlign w:val="bottom"/>
            <w:vMerge w:val="restart"/>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12,176</w:t>
            </w:r>
          </w:p>
        </w:tc>
        <w:tc>
          <w:tcPr>
            <w:tcW w:w="1460" w:type="dxa"/>
            <w:vAlign w:val="bottom"/>
            <w:vMerge w:val="restart"/>
            <w:shd w:val="clear" w:color="auto" w:fill="CCEEFF"/>
          </w:tcPr>
          <w:p>
            <w:pPr>
              <w:jc w:val="center"/>
              <w:ind w:right="197"/>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vMerge w:val="restart"/>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246,226</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Officer and Chairman of the Board</w:t>
            </w: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15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820" w:type="dxa"/>
            <w:vAlign w:val="bottom"/>
            <w:tcBorders>
              <w:top w:val="single" w:sz="8" w:color="auto"/>
            </w:tcBorders>
          </w:tcPr>
          <w:p>
            <w:pPr>
              <w:ind w:left="20"/>
              <w:spacing w:after="0" w:line="231" w:lineRule="exact"/>
              <w:rPr>
                <w:sz w:val="20"/>
                <w:szCs w:val="20"/>
                <w:color w:val="auto"/>
              </w:rPr>
            </w:pPr>
            <w:r>
              <w:rPr>
                <w:rFonts w:ascii="Times New Roman" w:cs="Times New Roman" w:eastAsia="Times New Roman" w:hAnsi="Times New Roman"/>
                <w:sz w:val="16"/>
                <w:szCs w:val="16"/>
                <w:color w:val="auto"/>
              </w:rPr>
              <w:t>Shawna Bowin</w:t>
            </w:r>
            <w:r>
              <w:rPr>
                <w:rFonts w:ascii="Times New Roman" w:cs="Times New Roman" w:eastAsia="Times New Roman" w:hAnsi="Times New Roman"/>
                <w:sz w:val="26"/>
                <w:szCs w:val="26"/>
                <w:color w:val="auto"/>
                <w:vertAlign w:val="superscript"/>
              </w:rPr>
              <w:t>(10)</w:t>
            </w: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tcBorders>
              <w:top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rPr>
              <w:t>127,795</w:t>
            </w:r>
          </w:p>
        </w:tc>
        <w:tc>
          <w:tcPr>
            <w:tcW w:w="960" w:type="dxa"/>
            <w:vAlign w:val="bottom"/>
            <w:tcBorders>
              <w:top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rPr>
              <w:t>197,000</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4,689</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153,363</w:t>
            </w:r>
          </w:p>
        </w:tc>
        <w:tc>
          <w:tcPr>
            <w:tcW w:w="1460" w:type="dxa"/>
            <w:vAlign w:val="bottom"/>
            <w:tcBorders>
              <w:top w:val="single" w:sz="8" w:color="auto"/>
            </w:tcBorders>
          </w:tcPr>
          <w:p>
            <w:pPr>
              <w:jc w:val="center"/>
              <w:ind w:right="177"/>
              <w:spacing w:after="0" w:line="231" w:lineRule="exact"/>
              <w:rPr>
                <w:sz w:val="20"/>
                <w:szCs w:val="20"/>
                <w:color w:val="auto"/>
              </w:rPr>
            </w:pPr>
            <w:r>
              <w:rPr>
                <w:rFonts w:ascii="Times New Roman" w:cs="Times New Roman" w:eastAsia="Times New Roman" w:hAnsi="Times New Roman"/>
                <w:sz w:val="16"/>
                <w:szCs w:val="16"/>
                <w:color w:val="auto"/>
              </w:rPr>
              <w:t>158,667</w:t>
            </w:r>
            <w:r>
              <w:rPr>
                <w:rFonts w:ascii="Times New Roman" w:cs="Times New Roman" w:eastAsia="Times New Roman" w:hAnsi="Times New Roman"/>
                <w:sz w:val="26"/>
                <w:szCs w:val="26"/>
                <w:color w:val="auto"/>
                <w:vertAlign w:val="superscript"/>
              </w:rPr>
              <w:t>(11)</w:t>
            </w:r>
          </w:p>
        </w:tc>
        <w:tc>
          <w:tcPr>
            <w:tcW w:w="154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8"/>
                <w:szCs w:val="18"/>
                <w:color w:val="auto"/>
                <w:w w:val="99"/>
              </w:rPr>
              <w:t>641,514</w:t>
            </w:r>
          </w:p>
        </w:tc>
        <w:tc>
          <w:tcPr>
            <w:tcW w:w="0" w:type="dxa"/>
            <w:vAlign w:val="bottom"/>
          </w:tcPr>
          <w:p>
            <w:pPr>
              <w:spacing w:after="0"/>
              <w:rPr>
                <w:sz w:val="1"/>
                <w:szCs w:val="1"/>
                <w:color w:val="auto"/>
              </w:rPr>
            </w:pPr>
          </w:p>
        </w:tc>
      </w:tr>
      <w:tr>
        <w:trPr>
          <w:trHeight w:val="255"/>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Carson Heagen</w:t>
            </w:r>
            <w:r>
              <w:rPr>
                <w:rFonts w:ascii="Times New Roman" w:cs="Times New Roman" w:eastAsia="Times New Roman" w:hAnsi="Times New Roman"/>
                <w:sz w:val="29"/>
                <w:szCs w:val="29"/>
                <w:color w:val="auto"/>
                <w:vertAlign w:val="superscript"/>
              </w:rPr>
              <w:t>(12)</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172,500</w:t>
            </w:r>
          </w:p>
        </w:tc>
        <w:tc>
          <w:tcPr>
            <w:tcW w:w="96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5"/>
              </w:rPr>
              <w:t>271,114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32,076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161,550</w:t>
            </w:r>
          </w:p>
        </w:tc>
        <w:tc>
          <w:tcPr>
            <w:tcW w:w="1460" w:type="dxa"/>
            <w:vAlign w:val="bottom"/>
            <w:shd w:val="clear" w:color="auto" w:fill="CCEEFF"/>
          </w:tcPr>
          <w:p>
            <w:pPr>
              <w:jc w:val="center"/>
              <w:ind w:right="177"/>
              <w:spacing w:after="0" w:line="256" w:lineRule="exact"/>
              <w:rPr>
                <w:sz w:val="20"/>
                <w:szCs w:val="20"/>
                <w:color w:val="auto"/>
              </w:rPr>
            </w:pPr>
            <w:r>
              <w:rPr>
                <w:rFonts w:ascii="Times New Roman" w:cs="Times New Roman" w:eastAsia="Times New Roman" w:hAnsi="Times New Roman"/>
                <w:sz w:val="18"/>
                <w:szCs w:val="18"/>
                <w:color w:val="auto"/>
                <w:w w:val="92"/>
              </w:rPr>
              <w:t>148,602</w:t>
            </w:r>
            <w:r>
              <w:rPr>
                <w:rFonts w:ascii="Times New Roman" w:cs="Times New Roman" w:eastAsia="Times New Roman" w:hAnsi="Times New Roman"/>
                <w:sz w:val="29"/>
                <w:szCs w:val="29"/>
                <w:color w:val="auto"/>
                <w:w w:val="92"/>
                <w:vertAlign w:val="superscript"/>
              </w:rPr>
              <w:t>(13)</w:t>
            </w:r>
          </w:p>
        </w:tc>
        <w:tc>
          <w:tcPr>
            <w:tcW w:w="15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9"/>
              </w:rPr>
              <w:t>785,842</w:t>
            </w:r>
          </w:p>
        </w:tc>
        <w:tc>
          <w:tcPr>
            <w:tcW w:w="0" w:type="dxa"/>
            <w:vAlign w:val="bottom"/>
          </w:tcPr>
          <w:p>
            <w:pPr>
              <w:spacing w:after="0"/>
              <w:rPr>
                <w:sz w:val="1"/>
                <w:szCs w:val="1"/>
                <w:color w:val="auto"/>
              </w:rPr>
            </w:pPr>
          </w:p>
        </w:tc>
      </w:tr>
      <w:tr>
        <w:trPr>
          <w:trHeight w:val="239"/>
        </w:trPr>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5"/>
        </w:trPr>
        <w:tc>
          <w:tcPr>
            <w:tcW w:w="2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3" w:right="339" w:bottom="1440" w:gutter="0" w:footer="0" w:header="0"/>
        </w:sectPr>
      </w:pPr>
    </w:p>
    <w:bookmarkStart w:id="10" w:name="page11"/>
    <w:bookmarkEnd w:id="10"/>
    <w:p>
      <w:pPr>
        <w:ind w:left="680" w:right="360" w:hanging="471"/>
        <w:spacing w:after="0" w:line="257"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2025 reflect a combination of cash incentive bonuses paid pursuant to the 2025 Employee Incentive Plan and discretionary bonuses approved by the Compensation Committee. Each of our named executive officers voluntarily declined to receive any cash bonuses in 2024. See the section titled “Cash Bonuses” below for additional information.</w:t>
      </w:r>
    </w:p>
    <w:p>
      <w:pPr>
        <w:spacing w:after="0" w:line="1" w:lineRule="exact"/>
        <w:rPr>
          <w:rFonts w:ascii="Times New Roman" w:cs="Times New Roman" w:eastAsia="Times New Roman" w:hAnsi="Times New Roman"/>
          <w:sz w:val="18"/>
          <w:szCs w:val="18"/>
          <w:color w:val="auto"/>
        </w:rPr>
      </w:pPr>
    </w:p>
    <w:p>
      <w:pPr>
        <w:ind w:left="680" w:right="160" w:hanging="493"/>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the Original Report, which is incorporated herein by reference.</w:t>
      </w:r>
    </w:p>
    <w:p>
      <w:pPr>
        <w:spacing w:after="0" w:line="1" w:lineRule="exact"/>
        <w:rPr>
          <w:rFonts w:ascii="Times New Roman" w:cs="Times New Roman" w:eastAsia="Times New Roman" w:hAnsi="Times New Roman"/>
          <w:sz w:val="18"/>
          <w:szCs w:val="18"/>
          <w:color w:val="auto"/>
        </w:rPr>
      </w:pPr>
    </w:p>
    <w:p>
      <w:pPr>
        <w:ind w:left="680" w:right="100" w:hanging="493"/>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grant-date fair value of restricted stock units (“RSUs”) granted during the applicable year computed in accordance with ASC Topic 718.</w:t>
      </w:r>
    </w:p>
    <w:p>
      <w:pPr>
        <w:ind w:left="680" w:right="500" w:hanging="493"/>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Hammer was appointed Chief Executive Officer and Chairman of the Board in October 2025 and was not a named executive officer for 2024.</w:t>
      </w:r>
    </w:p>
    <w:p>
      <w:pPr>
        <w:ind w:left="680" w:right="100" w:hanging="493"/>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(i) $564,800 in severance payments made pursuant to the Schaffner Severance Agreement (as defined below), (ii) $96,361 in tax gross-up payments made in connection with the issuance of RSUs, and (iii) $31,256 for the cash payout of Paid Time Off (“PTO”) earned but not used.</w:t>
      </w:r>
    </w:p>
    <w:p>
      <w:pPr>
        <w:spacing w:after="0" w:line="1" w:lineRule="exact"/>
        <w:rPr>
          <w:rFonts w:ascii="Times New Roman" w:cs="Times New Roman" w:eastAsia="Times New Roman" w:hAnsi="Times New Roman"/>
          <w:sz w:val="18"/>
          <w:szCs w:val="18"/>
          <w:color w:val="auto"/>
        </w:rPr>
      </w:pPr>
    </w:p>
    <w:p>
      <w:pPr>
        <w:ind w:left="680" w:hanging="493"/>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Schaffner voluntarily deferred a portion of his base salary in 2024, which was paid in full in 2025.</w:t>
      </w:r>
    </w:p>
    <w:p>
      <w:pPr>
        <w:spacing w:after="0" w:line="9" w:lineRule="exact"/>
        <w:rPr>
          <w:rFonts w:ascii="Times New Roman" w:cs="Times New Roman" w:eastAsia="Times New Roman" w:hAnsi="Times New Roman"/>
          <w:sz w:val="18"/>
          <w:szCs w:val="18"/>
          <w:color w:val="auto"/>
        </w:rPr>
      </w:pPr>
    </w:p>
    <w:p>
      <w:pPr>
        <w:ind w:left="680" w:right="100" w:hanging="493"/>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Shoun took a temporary unpaid leave of absence beginning in November 2024 and ending in January 2025. The salary amounts represent the pro-rated portion of his base salary actually paid after taking into account the unpaid leave.</w:t>
      </w:r>
    </w:p>
    <w:p>
      <w:pPr>
        <w:ind w:left="680" w:right="180" w:hanging="493"/>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(i) $564,800 in severance payments made pursuant to the Shoun Severance Agreement (as defined below), (ii) $145,176 in tax gross-up payments made in connection with the issuance of RSUs, and (iii) $24,980 for the cash payout of PTO earned but not used.</w:t>
      </w:r>
    </w:p>
    <w:p>
      <w:pPr>
        <w:ind w:left="680" w:hanging="493"/>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Shoun voluntarily deferred a portion of his base salary in 2024, which was paid in full in 2025.</w:t>
      </w:r>
    </w:p>
    <w:p>
      <w:pPr>
        <w:spacing w:after="0" w:line="9" w:lineRule="exact"/>
        <w:rPr>
          <w:sz w:val="20"/>
          <w:szCs w:val="20"/>
          <w:color w:val="auto"/>
        </w:rPr>
      </w:pPr>
    </w:p>
    <w:p>
      <w:pPr>
        <w:ind w:left="680" w:hanging="53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Bowin was appointed Chief Financial Officer in September 2025 and was not a named executive officer for 2024.</w:t>
      </w:r>
    </w:p>
    <w:p>
      <w:pPr>
        <w:spacing w:after="0" w:line="9" w:lineRule="exact"/>
        <w:rPr>
          <w:rFonts w:ascii="Times New Roman" w:cs="Times New Roman" w:eastAsia="Times New Roman" w:hAnsi="Times New Roman"/>
          <w:sz w:val="18"/>
          <w:szCs w:val="18"/>
          <w:color w:val="auto"/>
        </w:rPr>
      </w:pPr>
    </w:p>
    <w:p>
      <w:pPr>
        <w:ind w:left="680" w:right="1140" w:hanging="535"/>
        <w:spacing w:after="0" w:line="25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(i) $142,922 in tax gross-up payments made in connection with the issuance of RSUs, and (ii) $15,745 for tuition reimbursement and related costs.</w:t>
      </w:r>
    </w:p>
    <w:p>
      <w:pPr>
        <w:ind w:left="680" w:hanging="53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Heagen was appointed Chief Operating Officer in April 2025 and was not a named executive officer for 2024.</w:t>
      </w:r>
    </w:p>
    <w:p>
      <w:pPr>
        <w:spacing w:after="0" w:line="9" w:lineRule="exact"/>
        <w:rPr>
          <w:rFonts w:ascii="Times New Roman" w:cs="Times New Roman" w:eastAsia="Times New Roman" w:hAnsi="Times New Roman"/>
          <w:sz w:val="18"/>
          <w:szCs w:val="18"/>
          <w:color w:val="auto"/>
        </w:rPr>
      </w:pPr>
    </w:p>
    <w:p>
      <w:pPr>
        <w:ind w:left="680" w:right="380" w:hanging="538"/>
        <w:spacing w:after="0" w:line="26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(i) $145,140 in tax gross-up payments made in connection with the issuance of RSUs, and (ii) $3,462 for the cash payout of PTO earned but not used.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The base salary payable to each named executive officer is intended to provide a fixed component of compensation and is based on a number of factors, including the executive’s title, role, level of responsibility, and experience. Base salaries are initially established in the employment agreements entered into with each executive, and are reviewed on an annual basis by the Compensation Committee.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2025, the annual base salary for (i) Mr. Hammer was $330,000 upon his appointment as Chief Executive Officer and Chairman of the Board, (ii) Mr. Schaffner was $282,400 for his service as our former Chief Executive Officer, (iii) Mr. Shoun was $282,400 for his service as our prior President and Chief Operating Officer, (iv) Mr. Heagen was $180,000 upon his appointment as Chief Operating Officer, and (iii) Ms. Bowin was $192,000 upon her appointment as Chief Financial Officer, in each case consistent with the terms of their respective employment agreements. Mr. Hammer does not receive any additional compensation for serving as Chairman of the Board. See the section titled “Executive Compensation Arrangements” below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Employee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Compensation Committee approved the 2025 Employee Incentive Plan (the “2025 Plan”). The 2025 Plan provided, among other things, for the payment of cash incentive bonuses (the “Incentive Bonuses”) to our named executive officers based upon the achievement of pre-determined performance milestones selected by the Compensation Committee that are aligned with our strategic objectives and intended to create long-term value for stockholders.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t>The target amounts for each of the Incentive Bonuses were generally based on a percentage of each named executive officer’s base salary. The performance milestones were different for each named executive officer and were designed to incentivize performance towards those objectives that each executive had the ability to influence or control. Each named executive officer had the opportunity to earn multiple Incentive Bonuses based on the achievement of individual performance milestones (i.e., achievement of each milestone was assessed independently rather than in the aggregate).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2025, the performance milestones selected by the Compensation Committee related to achievement of net sales targets, operational efficiency objectives, completion of strategic and financing transactions, product certifications, and timely SEC filings.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achievement of the milestones, payout was contingent on a minimum cash balance target as of the payment date, as determined by the Compensation Committee. In addition, our named executive officers were required to remain employed by the Company at the time Incentive Bonuses were paid. Named executive officers were able to elect to be issued RSUs pursuant to the 2021 Plan in lieu of receiving Incentive Bonuses, subject to availability of reserved shares under the 2021 Plan. None of our named executive officers elected to receive RSUs in lieu of Incentive Bonuses, which were paid in August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Discretionary Bonuses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being eligible to receive Incentive Bonuses, our named executive officers are also eligible to receive discretionary bonuses as determined by the Compensation Committee. Messrs. Schaffner, Shoun and Heagen and Ms. Bowin each received a discretionary bonus in September 2025 related to the successful completion of certain financing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Cash Bonuses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each of our named executive officers voluntarily declined to receive any cash bonuses.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equity awards to our employees, including our named executive officers. We believe that equity awards are necessary to remain competitive in our industry and enhance our ability to attract, retain and motivate persons who we believe can make important contributions to the growth and success of our business by providing these individuals with equity ownership opportunities. Equity awards are made pursuant to our 2021 Incentive Award Plan (the “2021 Plan”), which has been approved by our Board and stockholders. The number and value of equity awards granted to our named executive officers is typically determined by the Compensation Committee based on a number of factors, including the executive’s title, role, level of responsibility, and experience.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Plan provided, among other things, for the issuance of RSUs and stock options to certain employees, including our named executive officers. Specifically, the 2025 Plan authorized the issuance of an aggregate of 105,000 RSUs to our employees, which were fully vested on the date of grant. The 2025 Plan also authorized the issuance of an aggregate of 188,278 stock options to our employees (the “Stock Options”). The issuance of the Stock Options was conditioned upon stockholder approval of an increase in the number of shares available for issuance under the 2021 Plan, which we obtained at the 2025 Annual Meeting of Stockholders. The Stock Options were immediately vested upon issuance.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2025, in conjunction with the successful completion of the Private Placement, Messrs. Schaffner, Shoun and Heagen, and Ms. Bowin, each received an additional grant of 100,000 RSUs, which were immediately vested upon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and RSUs granted to our named executive officers during 2025 are summarized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2025 Stock Option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RSU</w:t>
            </w:r>
          </w:p>
        </w:tc>
        <w:tc>
          <w:tcPr>
            <w:tcW w:w="0" w:type="dxa"/>
            <w:vAlign w:val="bottom"/>
          </w:tcPr>
          <w:p>
            <w:pPr>
              <w:spacing w:after="0"/>
              <w:rPr>
                <w:sz w:val="1"/>
                <w:szCs w:val="1"/>
                <w:color w:val="auto"/>
              </w:rPr>
            </w:pPr>
          </w:p>
        </w:tc>
      </w:tr>
      <w:tr>
        <w:trPr>
          <w:trHeight w:val="148"/>
        </w:trPr>
        <w:tc>
          <w:tcPr>
            <w:tcW w:w="652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20" w:type="dxa"/>
            <w:vAlign w:val="bottom"/>
            <w:vMerge w:val="restart"/>
          </w:tcPr>
          <w:p>
            <w:pPr>
              <w:spacing w:after="0"/>
              <w:rPr>
                <w:sz w:val="12"/>
                <w:szCs w:val="12"/>
                <w:color w:val="auto"/>
              </w:rPr>
            </w:pPr>
          </w:p>
        </w:tc>
        <w:tc>
          <w:tcPr>
            <w:tcW w:w="236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7"/>
        </w:trPr>
        <w:tc>
          <w:tcPr>
            <w:tcW w:w="7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Paul Shoun</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46,281</w:t>
            </w:r>
          </w:p>
        </w:tc>
        <w:tc>
          <w:tcPr>
            <w:tcW w:w="9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Brian Schaffner</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43,519</w:t>
            </w:r>
          </w:p>
        </w:tc>
        <w:tc>
          <w:tcPr>
            <w:tcW w:w="90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43"/>
        </w:trPr>
        <w:tc>
          <w:tcPr>
            <w:tcW w:w="7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Shawna Bowin</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4,819</w:t>
            </w:r>
          </w:p>
        </w:tc>
        <w:tc>
          <w:tcPr>
            <w:tcW w:w="9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104,368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Carson Heagen</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32,966</w:t>
            </w:r>
          </w:p>
        </w:tc>
        <w:tc>
          <w:tcPr>
            <w:tcW w:w="90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the grant-date fair value of the stock options and RSUs granted to our named executive officers during 2025 is set forth in the “Summary Compensation Table” above. Mr. Hammer was appointed Chief Executive Officer and Chairman of the Board in October 2025 and has not been issued any equity awards.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Substantially all employees are eligible to participate. We have the option to make profit sharing contributions under our 401(k) plan at our discretion. No profit-sharing contributions have been made. The Internal Revenue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Health/Welfare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which include medical and vision benefits. Our named executive officers are eligible to participate in our employee health and welfare plans on the same basis as all of our other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Gross Ups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made tax gross-up payments to cover a portion of the personal income taxes incurred on the value of RSUs awarded to employees who met certain criteria. In 2024, we did not make any tax gross-up payments on any compensation paid or awards issued to any of our named executive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Consistent with the terms of the Bowin Employment Agreement (as defined below), Ms. Bowin is entitled to reimbursement of tuition and reasonable associated fees and costs, as well as personal income taxes incurred related to such reimbursements. Except as disclosed herein, none of our named executive officers received any perquisites during 2025 or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stock options for each of our named executive officers as of December 31, 2025. There were no unvested RSUs outstanding and held by our named executive officers as of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vMerge w:val="restart"/>
          </w:tcPr>
          <w:p>
            <w:pPr>
              <w:spacing w:after="0"/>
              <w:rPr>
                <w:sz w:val="12"/>
                <w:szCs w:val="12"/>
                <w:color w:val="auto"/>
              </w:rPr>
            </w:pPr>
          </w:p>
        </w:tc>
        <w:tc>
          <w:tcPr>
            <w:tcW w:w="15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50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0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5"/>
              <w:spacing w:after="0" w:line="176" w:lineRule="exact"/>
              <w:rPr>
                <w:sz w:val="20"/>
                <w:szCs w:val="20"/>
                <w:color w:val="auto"/>
              </w:rPr>
            </w:pPr>
            <w:r>
              <w:rPr>
                <w:rFonts w:ascii="Times New Roman" w:cs="Times New Roman" w:eastAsia="Times New Roman" w:hAnsi="Times New Roman"/>
                <w:sz w:val="13"/>
                <w:szCs w:val="13"/>
                <w:b w:val="1"/>
                <w:bCs w:val="1"/>
                <w:color w:val="auto"/>
              </w:rPr>
              <w:t>(#) Exercisable</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 Unexercisable</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64"/>
        </w:trPr>
        <w:tc>
          <w:tcPr>
            <w:tcW w:w="3940" w:type="dxa"/>
            <w:vAlign w:val="bottom"/>
            <w:shd w:val="clear" w:color="auto" w:fill="CCEEFF"/>
          </w:tcPr>
          <w:p>
            <w:pPr>
              <w:ind w:left="100"/>
              <w:spacing w:after="0" w:line="263" w:lineRule="exact"/>
              <w:rPr>
                <w:sz w:val="20"/>
                <w:szCs w:val="20"/>
                <w:color w:val="auto"/>
              </w:rPr>
            </w:pPr>
            <w:r>
              <w:rPr>
                <w:rFonts w:ascii="Times New Roman" w:cs="Times New Roman" w:eastAsia="Times New Roman" w:hAnsi="Times New Roman"/>
                <w:sz w:val="18"/>
                <w:szCs w:val="18"/>
                <w:color w:val="auto"/>
              </w:rPr>
              <w:t>Joseph Hammer</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2"/>
        </w:trPr>
        <w:tc>
          <w:tcPr>
            <w:tcW w:w="4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color w:val="auto"/>
              </w:rPr>
              <w:t>Brian Schaffner</w:t>
            </w:r>
          </w:p>
        </w:tc>
        <w:tc>
          <w:tcPr>
            <w:tcW w:w="1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5/2/2022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299</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gridSpan w:val="2"/>
          </w:tcPr>
          <w:p>
            <w:pPr>
              <w:ind w:left="74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336.00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5/2/2032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5/2/2022</w:t>
            </w:r>
          </w:p>
        </w:tc>
        <w:tc>
          <w:tcPr>
            <w:tcW w:w="2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336.00</w:t>
            </w: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5/2/2032</w:t>
            </w:r>
          </w:p>
        </w:tc>
        <w:tc>
          <w:tcPr>
            <w:tcW w:w="0" w:type="dxa"/>
            <w:vAlign w:val="bottom"/>
          </w:tcPr>
          <w:p>
            <w:pPr>
              <w:spacing w:after="0"/>
              <w:rPr>
                <w:sz w:val="1"/>
                <w:szCs w:val="1"/>
                <w:color w:val="auto"/>
              </w:rPr>
            </w:pPr>
          </w:p>
        </w:tc>
      </w:tr>
      <w:tr>
        <w:trPr>
          <w:trHeight w:val="42"/>
        </w:trPr>
        <w:tc>
          <w:tcPr>
            <w:tcW w:w="3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8/23/2023</w:t>
            </w:r>
          </w:p>
        </w:tc>
        <w:tc>
          <w:tcPr>
            <w:tcW w:w="220" w:type="dxa"/>
            <w:vAlign w:val="bottom"/>
          </w:tcPr>
          <w:p>
            <w:pPr>
              <w:spacing w:after="0"/>
              <w:rPr>
                <w:sz w:val="3"/>
                <w:szCs w:val="3"/>
                <w:color w:val="auto"/>
              </w:rPr>
            </w:pPr>
          </w:p>
        </w:tc>
        <w:tc>
          <w:tcPr>
            <w:tcW w:w="1100" w:type="dxa"/>
            <w:vAlign w:val="bottom"/>
            <w:gridSpan w:val="2"/>
          </w:tcPr>
          <w:p>
            <w:pPr>
              <w:jc w:val="right"/>
              <w:spacing w:after="0" w:line="42" w:lineRule="exact"/>
              <w:rPr>
                <w:sz w:val="20"/>
                <w:szCs w:val="20"/>
                <w:color w:val="auto"/>
              </w:rPr>
            </w:pPr>
            <w:r>
              <w:rPr>
                <w:rFonts w:ascii="Times New Roman" w:cs="Times New Roman" w:eastAsia="Times New Roman" w:hAnsi="Times New Roman"/>
                <w:sz w:val="4"/>
                <w:szCs w:val="4"/>
                <w:color w:val="auto"/>
              </w:rPr>
              <w:t>417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tcPr>
          <w:p>
            <w:pPr>
              <w:spacing w:after="0"/>
              <w:rPr>
                <w:sz w:val="3"/>
                <w:szCs w:val="3"/>
                <w:color w:val="auto"/>
              </w:rPr>
            </w:pPr>
          </w:p>
        </w:tc>
        <w:tc>
          <w:tcPr>
            <w:tcW w:w="1280" w:type="dxa"/>
            <w:vAlign w:val="bottom"/>
            <w:gridSpan w:val="3"/>
          </w:tcPr>
          <w:p>
            <w:pPr>
              <w:jc w:val="right"/>
              <w:ind w:right="180"/>
              <w:spacing w:after="0" w:line="42" w:lineRule="exact"/>
              <w:rPr>
                <w:sz w:val="20"/>
                <w:szCs w:val="20"/>
                <w:color w:val="auto"/>
              </w:rPr>
            </w:pPr>
            <w:r>
              <w:rPr>
                <w:rFonts w:ascii="Times New Roman" w:cs="Times New Roman" w:eastAsia="Times New Roman" w:hAnsi="Times New Roman"/>
                <w:sz w:val="4"/>
                <w:szCs w:val="4"/>
                <w:color w:val="auto"/>
              </w:rPr>
              <w:t>83</w:t>
            </w:r>
          </w:p>
        </w:tc>
        <w:tc>
          <w:tcPr>
            <w:tcW w:w="220" w:type="dxa"/>
            <w:vAlign w:val="bottom"/>
          </w:tcPr>
          <w:p>
            <w:pPr>
              <w:spacing w:after="0"/>
              <w:rPr>
                <w:sz w:val="3"/>
                <w:szCs w:val="3"/>
                <w:color w:val="auto"/>
              </w:rPr>
            </w:pPr>
          </w:p>
        </w:tc>
        <w:tc>
          <w:tcPr>
            <w:tcW w:w="120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492.00</w:t>
            </w:r>
          </w:p>
        </w:tc>
        <w:tc>
          <w:tcPr>
            <w:tcW w:w="220" w:type="dxa"/>
            <w:vAlign w:val="bottom"/>
          </w:tcPr>
          <w:p>
            <w:pPr>
              <w:spacing w:after="0"/>
              <w:rPr>
                <w:sz w:val="3"/>
                <w:szCs w:val="3"/>
                <w:color w:val="auto"/>
              </w:rPr>
            </w:pPr>
          </w:p>
        </w:tc>
        <w:tc>
          <w:tcPr>
            <w:tcW w:w="122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8/23/2033</w:t>
            </w: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7/31/2025</w:t>
            </w:r>
          </w:p>
        </w:tc>
        <w:tc>
          <w:tcPr>
            <w:tcW w:w="22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line="260" w:lineRule="exact"/>
              <w:rPr>
                <w:sz w:val="20"/>
                <w:szCs w:val="20"/>
                <w:color w:val="auto"/>
              </w:rPr>
            </w:pPr>
            <w:r>
              <w:rPr>
                <w:rFonts w:ascii="Times New Roman" w:cs="Times New Roman" w:eastAsia="Times New Roman" w:hAnsi="Times New Roman"/>
                <w:sz w:val="18"/>
                <w:szCs w:val="18"/>
                <w:color w:val="auto"/>
              </w:rPr>
              <w:t>43,519</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0.769</w:t>
            </w: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7/31/2035</w:t>
            </w:r>
          </w:p>
        </w:tc>
        <w:tc>
          <w:tcPr>
            <w:tcW w:w="0" w:type="dxa"/>
            <w:vAlign w:val="bottom"/>
          </w:tcPr>
          <w:p>
            <w:pPr>
              <w:spacing w:after="0"/>
              <w:rPr>
                <w:sz w:val="1"/>
                <w:szCs w:val="1"/>
                <w:color w:val="auto"/>
              </w:rPr>
            </w:pPr>
          </w:p>
        </w:tc>
      </w:tr>
      <w:tr>
        <w:trPr>
          <w:trHeight w:val="142"/>
        </w:trPr>
        <w:tc>
          <w:tcPr>
            <w:tcW w:w="4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color w:val="auto"/>
              </w:rPr>
              <w:t>Paul Shoun</w:t>
            </w: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5/2/2022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299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740"/>
              <w:spacing w:after="0" w:line="14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336.00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5/2/2032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5/2/2022</w:t>
            </w:r>
          </w:p>
        </w:tc>
        <w:tc>
          <w:tcPr>
            <w:tcW w:w="2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336.00</w:t>
            </w: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5/2/2032</w:t>
            </w:r>
          </w:p>
        </w:tc>
        <w:tc>
          <w:tcPr>
            <w:tcW w:w="0" w:type="dxa"/>
            <w:vAlign w:val="bottom"/>
          </w:tcPr>
          <w:p>
            <w:pPr>
              <w:spacing w:after="0"/>
              <w:rPr>
                <w:sz w:val="1"/>
                <w:szCs w:val="1"/>
                <w:color w:val="auto"/>
              </w:rPr>
            </w:pPr>
          </w:p>
        </w:tc>
      </w:tr>
      <w:tr>
        <w:trPr>
          <w:trHeight w:val="42"/>
        </w:trPr>
        <w:tc>
          <w:tcPr>
            <w:tcW w:w="3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8/23/2023</w:t>
            </w:r>
          </w:p>
        </w:tc>
        <w:tc>
          <w:tcPr>
            <w:tcW w:w="220" w:type="dxa"/>
            <w:vAlign w:val="bottom"/>
          </w:tcPr>
          <w:p>
            <w:pPr>
              <w:spacing w:after="0"/>
              <w:rPr>
                <w:sz w:val="3"/>
                <w:szCs w:val="3"/>
                <w:color w:val="auto"/>
              </w:rPr>
            </w:pPr>
          </w:p>
        </w:tc>
        <w:tc>
          <w:tcPr>
            <w:tcW w:w="1100" w:type="dxa"/>
            <w:vAlign w:val="bottom"/>
            <w:gridSpan w:val="2"/>
          </w:tcPr>
          <w:p>
            <w:pPr>
              <w:jc w:val="right"/>
              <w:spacing w:after="0" w:line="42" w:lineRule="exact"/>
              <w:rPr>
                <w:sz w:val="20"/>
                <w:szCs w:val="20"/>
                <w:color w:val="auto"/>
              </w:rPr>
            </w:pPr>
            <w:r>
              <w:rPr>
                <w:rFonts w:ascii="Times New Roman" w:cs="Times New Roman" w:eastAsia="Times New Roman" w:hAnsi="Times New Roman"/>
                <w:sz w:val="4"/>
                <w:szCs w:val="4"/>
                <w:color w:val="auto"/>
              </w:rPr>
              <w:t>417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tcPr>
          <w:p>
            <w:pPr>
              <w:spacing w:after="0"/>
              <w:rPr>
                <w:sz w:val="3"/>
                <w:szCs w:val="3"/>
                <w:color w:val="auto"/>
              </w:rPr>
            </w:pPr>
          </w:p>
        </w:tc>
        <w:tc>
          <w:tcPr>
            <w:tcW w:w="1280" w:type="dxa"/>
            <w:vAlign w:val="bottom"/>
            <w:gridSpan w:val="3"/>
          </w:tcPr>
          <w:p>
            <w:pPr>
              <w:jc w:val="right"/>
              <w:ind w:right="180"/>
              <w:spacing w:after="0" w:line="42" w:lineRule="exact"/>
              <w:rPr>
                <w:sz w:val="20"/>
                <w:szCs w:val="20"/>
                <w:color w:val="auto"/>
              </w:rPr>
            </w:pPr>
            <w:r>
              <w:rPr>
                <w:rFonts w:ascii="Times New Roman" w:cs="Times New Roman" w:eastAsia="Times New Roman" w:hAnsi="Times New Roman"/>
                <w:sz w:val="4"/>
                <w:szCs w:val="4"/>
                <w:color w:val="auto"/>
              </w:rPr>
              <w:t>83</w:t>
            </w:r>
          </w:p>
        </w:tc>
        <w:tc>
          <w:tcPr>
            <w:tcW w:w="220" w:type="dxa"/>
            <w:vAlign w:val="bottom"/>
          </w:tcPr>
          <w:p>
            <w:pPr>
              <w:spacing w:after="0"/>
              <w:rPr>
                <w:sz w:val="3"/>
                <w:szCs w:val="3"/>
                <w:color w:val="auto"/>
              </w:rPr>
            </w:pPr>
          </w:p>
        </w:tc>
        <w:tc>
          <w:tcPr>
            <w:tcW w:w="120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492.00</w:t>
            </w:r>
          </w:p>
        </w:tc>
        <w:tc>
          <w:tcPr>
            <w:tcW w:w="220" w:type="dxa"/>
            <w:vAlign w:val="bottom"/>
          </w:tcPr>
          <w:p>
            <w:pPr>
              <w:spacing w:after="0"/>
              <w:rPr>
                <w:sz w:val="3"/>
                <w:szCs w:val="3"/>
                <w:color w:val="auto"/>
              </w:rPr>
            </w:pPr>
          </w:p>
        </w:tc>
        <w:tc>
          <w:tcPr>
            <w:tcW w:w="122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8/23/2033</w:t>
            </w: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7/31/2025</w:t>
            </w:r>
          </w:p>
        </w:tc>
        <w:tc>
          <w:tcPr>
            <w:tcW w:w="22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line="260" w:lineRule="exact"/>
              <w:rPr>
                <w:sz w:val="20"/>
                <w:szCs w:val="20"/>
                <w:color w:val="auto"/>
              </w:rPr>
            </w:pPr>
            <w:r>
              <w:rPr>
                <w:rFonts w:ascii="Times New Roman" w:cs="Times New Roman" w:eastAsia="Times New Roman" w:hAnsi="Times New Roman"/>
                <w:sz w:val="18"/>
                <w:szCs w:val="18"/>
                <w:color w:val="auto"/>
              </w:rPr>
              <w:t>46,281</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0.769</w:t>
            </w: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7/31/2035</w:t>
            </w:r>
          </w:p>
        </w:tc>
        <w:tc>
          <w:tcPr>
            <w:tcW w:w="0" w:type="dxa"/>
            <w:vAlign w:val="bottom"/>
          </w:tcPr>
          <w:p>
            <w:pPr>
              <w:spacing w:after="0"/>
              <w:rPr>
                <w:sz w:val="1"/>
                <w:szCs w:val="1"/>
                <w:color w:val="auto"/>
              </w:rPr>
            </w:pPr>
          </w:p>
        </w:tc>
      </w:tr>
      <w:tr>
        <w:trPr>
          <w:trHeight w:val="8"/>
        </w:trPr>
        <w:tc>
          <w:tcPr>
            <w:tcW w:w="4160" w:type="dxa"/>
            <w:vAlign w:val="bottom"/>
            <w:gridSpan w:val="2"/>
          </w:tcPr>
          <w:p>
            <w:pPr>
              <w:ind w:left="100"/>
              <w:spacing w:after="0" w:line="9" w:lineRule="exact"/>
              <w:rPr>
                <w:sz w:val="20"/>
                <w:szCs w:val="20"/>
                <w:color w:val="auto"/>
              </w:rPr>
            </w:pPr>
            <w:r>
              <w:rPr>
                <w:rFonts w:ascii="Times New Roman" w:cs="Times New Roman" w:eastAsia="Times New Roman" w:hAnsi="Times New Roman"/>
                <w:sz w:val="1"/>
                <w:szCs w:val="1"/>
                <w:color w:val="auto"/>
              </w:rPr>
              <w:t>Shawna Bowin</w:t>
            </w:r>
          </w:p>
        </w:tc>
        <w:tc>
          <w:tcPr>
            <w:tcW w:w="1120" w:type="dxa"/>
            <w:vAlign w:val="bottom"/>
            <w:tcBorders>
              <w:top w:val="single" w:sz="8" w:color="auto"/>
            </w:tcBorders>
            <w:gridSpan w:val="2"/>
          </w:tcPr>
          <w:p>
            <w:pPr>
              <w:jc w:val="right"/>
              <w:spacing w:after="0" w:line="9" w:lineRule="exact"/>
              <w:rPr>
                <w:sz w:val="20"/>
                <w:szCs w:val="20"/>
                <w:color w:val="auto"/>
              </w:rPr>
            </w:pPr>
            <w:r>
              <w:rPr>
                <w:rFonts w:ascii="Times New Roman" w:cs="Times New Roman" w:eastAsia="Times New Roman" w:hAnsi="Times New Roman"/>
                <w:sz w:val="1"/>
                <w:szCs w:val="1"/>
                <w:color w:val="auto"/>
              </w:rPr>
              <w:t>3/11/2024</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tcBorders>
            <w:gridSpan w:val="2"/>
          </w:tcPr>
          <w:p>
            <w:pPr>
              <w:jc w:val="right"/>
              <w:spacing w:after="0" w:line="9" w:lineRule="exact"/>
              <w:rPr>
                <w:sz w:val="20"/>
                <w:szCs w:val="20"/>
                <w:color w:val="auto"/>
              </w:rPr>
            </w:pPr>
            <w:r>
              <w:rPr>
                <w:rFonts w:ascii="Times New Roman" w:cs="Times New Roman" w:eastAsia="Times New Roman" w:hAnsi="Times New Roman"/>
                <w:sz w:val="1"/>
                <w:szCs w:val="1"/>
                <w:color w:val="auto"/>
              </w:rPr>
              <w:t>39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tcPr>
          <w:p>
            <w:pPr>
              <w:spacing w:after="0" w:line="20" w:lineRule="exact"/>
              <w:rPr>
                <w:sz w:val="1"/>
                <w:szCs w:val="1"/>
                <w:color w:val="auto"/>
              </w:rPr>
            </w:pPr>
          </w:p>
        </w:tc>
        <w:tc>
          <w:tcPr>
            <w:tcW w:w="1100" w:type="dxa"/>
            <w:vAlign w:val="bottom"/>
            <w:tcBorders>
              <w:top w:val="single" w:sz="8" w:color="auto"/>
            </w:tcBorders>
            <w:gridSpan w:val="2"/>
          </w:tcPr>
          <w:p>
            <w:pPr>
              <w:jc w:val="right"/>
              <w:spacing w:after="0" w:line="9" w:lineRule="exact"/>
              <w:rPr>
                <w:sz w:val="20"/>
                <w:szCs w:val="20"/>
                <w:color w:val="auto"/>
              </w:rPr>
            </w:pPr>
            <w:r>
              <w:rPr>
                <w:rFonts w:ascii="Times New Roman" w:cs="Times New Roman" w:eastAsia="Times New Roman" w:hAnsi="Times New Roman"/>
                <w:sz w:val="1"/>
                <w:szCs w:val="1"/>
                <w:color w:val="auto"/>
              </w:rPr>
              <w:t>11</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tcBorders>
            <w:gridSpan w:val="2"/>
          </w:tcPr>
          <w:p>
            <w:pPr>
              <w:jc w:val="right"/>
              <w:spacing w:after="0" w:line="9" w:lineRule="exact"/>
              <w:rPr>
                <w:sz w:val="20"/>
                <w:szCs w:val="20"/>
                <w:color w:val="auto"/>
              </w:rPr>
            </w:pPr>
            <w:r>
              <w:rPr>
                <w:rFonts w:ascii="Times New Roman" w:cs="Times New Roman" w:eastAsia="Times New Roman" w:hAnsi="Times New Roman"/>
                <w:sz w:val="1"/>
                <w:szCs w:val="1"/>
                <w:color w:val="auto"/>
              </w:rPr>
              <w:t>345.00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tcBorders>
            <w:gridSpan w:val="2"/>
          </w:tcPr>
          <w:p>
            <w:pPr>
              <w:jc w:val="right"/>
              <w:spacing w:after="0" w:line="9" w:lineRule="exact"/>
              <w:rPr>
                <w:sz w:val="20"/>
                <w:szCs w:val="20"/>
                <w:color w:val="auto"/>
              </w:rPr>
            </w:pPr>
            <w:r>
              <w:rPr>
                <w:rFonts w:ascii="Times New Roman" w:cs="Times New Roman" w:eastAsia="Times New Roman" w:hAnsi="Times New Roman"/>
                <w:sz w:val="1"/>
                <w:szCs w:val="1"/>
                <w:color w:val="auto"/>
              </w:rPr>
              <w:t>3/11/2034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7/31/2025</w:t>
            </w:r>
          </w:p>
        </w:tc>
        <w:tc>
          <w:tcPr>
            <w:tcW w:w="22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line="260" w:lineRule="exact"/>
              <w:rPr>
                <w:sz w:val="20"/>
                <w:szCs w:val="20"/>
                <w:color w:val="auto"/>
              </w:rPr>
            </w:pPr>
            <w:r>
              <w:rPr>
                <w:rFonts w:ascii="Times New Roman" w:cs="Times New Roman" w:eastAsia="Times New Roman" w:hAnsi="Times New Roman"/>
                <w:sz w:val="18"/>
                <w:szCs w:val="18"/>
                <w:color w:val="auto"/>
              </w:rPr>
              <w:t>4,819</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0.769</w:t>
            </w: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7/31/2035</w:t>
            </w:r>
          </w:p>
        </w:tc>
        <w:tc>
          <w:tcPr>
            <w:tcW w:w="0" w:type="dxa"/>
            <w:vAlign w:val="bottom"/>
          </w:tcPr>
          <w:p>
            <w:pPr>
              <w:spacing w:after="0"/>
              <w:rPr>
                <w:sz w:val="1"/>
                <w:szCs w:val="1"/>
                <w:color w:val="auto"/>
              </w:rPr>
            </w:pPr>
          </w:p>
        </w:tc>
      </w:tr>
      <w:tr>
        <w:trPr>
          <w:trHeight w:val="142"/>
        </w:trPr>
        <w:tc>
          <w:tcPr>
            <w:tcW w:w="4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color w:val="auto"/>
              </w:rPr>
              <w:t>Carson Heagen</w:t>
            </w: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5/2/2022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299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740"/>
              <w:spacing w:after="0" w:line="14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336.00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5/2/2032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5/2/2022</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7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336.00</w:t>
            </w:r>
          </w:p>
        </w:tc>
        <w:tc>
          <w:tcPr>
            <w:tcW w:w="2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5/2/2032</w:t>
            </w:r>
          </w:p>
        </w:tc>
        <w:tc>
          <w:tcPr>
            <w:tcW w:w="0" w:type="dxa"/>
            <w:vAlign w:val="bottom"/>
          </w:tcPr>
          <w:p>
            <w:pPr>
              <w:spacing w:after="0"/>
              <w:rPr>
                <w:sz w:val="1"/>
                <w:szCs w:val="1"/>
                <w:color w:val="auto"/>
              </w:rPr>
            </w:pPr>
          </w:p>
        </w:tc>
      </w:tr>
      <w:tr>
        <w:trPr>
          <w:trHeight w:val="48"/>
        </w:trPr>
        <w:tc>
          <w:tcPr>
            <w:tcW w:w="3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3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8/23/2023</w:t>
            </w:r>
          </w:p>
        </w:tc>
        <w:tc>
          <w:tcPr>
            <w:tcW w:w="220" w:type="dxa"/>
            <w:vAlign w:val="bottom"/>
          </w:tcPr>
          <w:p>
            <w:pPr>
              <w:spacing w:after="0"/>
              <w:rPr>
                <w:sz w:val="3"/>
                <w:szCs w:val="3"/>
                <w:color w:val="auto"/>
              </w:rPr>
            </w:pPr>
          </w:p>
        </w:tc>
        <w:tc>
          <w:tcPr>
            <w:tcW w:w="1100" w:type="dxa"/>
            <w:vAlign w:val="bottom"/>
            <w:gridSpan w:val="2"/>
          </w:tcPr>
          <w:p>
            <w:pPr>
              <w:jc w:val="right"/>
              <w:spacing w:after="0" w:line="42" w:lineRule="exact"/>
              <w:rPr>
                <w:sz w:val="20"/>
                <w:szCs w:val="20"/>
                <w:color w:val="auto"/>
              </w:rPr>
            </w:pPr>
            <w:r>
              <w:rPr>
                <w:rFonts w:ascii="Times New Roman" w:cs="Times New Roman" w:eastAsia="Times New Roman" w:hAnsi="Times New Roman"/>
                <w:sz w:val="4"/>
                <w:szCs w:val="4"/>
                <w:color w:val="auto"/>
              </w:rPr>
              <w:t>208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tcPr>
          <w:p>
            <w:pPr>
              <w:spacing w:after="0"/>
              <w:rPr>
                <w:sz w:val="3"/>
                <w:szCs w:val="3"/>
                <w:color w:val="auto"/>
              </w:rPr>
            </w:pPr>
          </w:p>
        </w:tc>
        <w:tc>
          <w:tcPr>
            <w:tcW w:w="1280" w:type="dxa"/>
            <w:vAlign w:val="bottom"/>
            <w:gridSpan w:val="3"/>
          </w:tcPr>
          <w:p>
            <w:pPr>
              <w:jc w:val="right"/>
              <w:ind w:right="180"/>
              <w:spacing w:after="0" w:line="42" w:lineRule="exact"/>
              <w:rPr>
                <w:sz w:val="20"/>
                <w:szCs w:val="20"/>
                <w:color w:val="auto"/>
              </w:rPr>
            </w:pPr>
            <w:r>
              <w:rPr>
                <w:rFonts w:ascii="Times New Roman" w:cs="Times New Roman" w:eastAsia="Times New Roman" w:hAnsi="Times New Roman"/>
                <w:sz w:val="4"/>
                <w:szCs w:val="4"/>
                <w:color w:val="auto"/>
              </w:rPr>
              <w:t>42</w:t>
            </w:r>
          </w:p>
        </w:tc>
        <w:tc>
          <w:tcPr>
            <w:tcW w:w="220" w:type="dxa"/>
            <w:vAlign w:val="bottom"/>
          </w:tcPr>
          <w:p>
            <w:pPr>
              <w:spacing w:after="0"/>
              <w:rPr>
                <w:sz w:val="3"/>
                <w:szCs w:val="3"/>
                <w:color w:val="auto"/>
              </w:rPr>
            </w:pPr>
          </w:p>
        </w:tc>
        <w:tc>
          <w:tcPr>
            <w:tcW w:w="120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492.00</w:t>
            </w:r>
          </w:p>
        </w:tc>
        <w:tc>
          <w:tcPr>
            <w:tcW w:w="220" w:type="dxa"/>
            <w:vAlign w:val="bottom"/>
          </w:tcPr>
          <w:p>
            <w:pPr>
              <w:spacing w:after="0"/>
              <w:rPr>
                <w:sz w:val="3"/>
                <w:szCs w:val="3"/>
                <w:color w:val="auto"/>
              </w:rPr>
            </w:pPr>
          </w:p>
        </w:tc>
        <w:tc>
          <w:tcPr>
            <w:tcW w:w="1220" w:type="dxa"/>
            <w:vAlign w:val="bottom"/>
            <w:gridSpan w:val="3"/>
          </w:tcPr>
          <w:p>
            <w:pPr>
              <w:jc w:val="right"/>
              <w:ind w:right="100"/>
              <w:spacing w:after="0" w:line="42" w:lineRule="exact"/>
              <w:rPr>
                <w:sz w:val="20"/>
                <w:szCs w:val="20"/>
                <w:color w:val="auto"/>
              </w:rPr>
            </w:pPr>
            <w:r>
              <w:rPr>
                <w:rFonts w:ascii="Times New Roman" w:cs="Times New Roman" w:eastAsia="Times New Roman" w:hAnsi="Times New Roman"/>
                <w:sz w:val="4"/>
                <w:szCs w:val="4"/>
                <w:color w:val="auto"/>
              </w:rPr>
              <w:t>8/23/2033</w:t>
            </w: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line="260" w:lineRule="exact"/>
              <w:rPr>
                <w:sz w:val="20"/>
                <w:szCs w:val="20"/>
                <w:color w:val="auto"/>
              </w:rPr>
            </w:pPr>
            <w:r>
              <w:rPr>
                <w:rFonts w:ascii="Times New Roman" w:cs="Times New Roman" w:eastAsia="Times New Roman" w:hAnsi="Times New Roman"/>
                <w:sz w:val="18"/>
                <w:szCs w:val="18"/>
                <w:color w:val="auto"/>
              </w:rPr>
              <w:t>32,966</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0.769</w:t>
            </w:r>
          </w:p>
        </w:tc>
        <w:tc>
          <w:tcPr>
            <w:tcW w:w="2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7/31/2035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hanging="254"/>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stock options were granted pursuant to the 2021 Plan.</w:t>
      </w:r>
    </w:p>
    <w:p>
      <w:pPr>
        <w:spacing w:after="0" w:line="36" w:lineRule="exact"/>
        <w:rPr>
          <w:rFonts w:ascii="Times New Roman" w:cs="Times New Roman" w:eastAsia="Times New Roman" w:hAnsi="Times New Roman"/>
          <w:sz w:val="18"/>
          <w:szCs w:val="18"/>
          <w:color w:val="auto"/>
        </w:rPr>
      </w:pPr>
    </w:p>
    <w:p>
      <w:pPr>
        <w:ind w:left="380" w:hanging="254"/>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Hammer was appointed Chief Executive Officer and Chairman of the Board in October 2025 and has not been issued any equity awards.</w:t>
      </w:r>
    </w:p>
    <w:p>
      <w:pPr>
        <w:spacing w:after="0" w:line="36" w:lineRule="exact"/>
        <w:rPr>
          <w:rFonts w:ascii="Times New Roman" w:cs="Times New Roman" w:eastAsia="Times New Roman" w:hAnsi="Times New Roman"/>
          <w:sz w:val="18"/>
          <w:szCs w:val="18"/>
          <w:color w:val="auto"/>
        </w:rPr>
      </w:pPr>
    </w:p>
    <w:p>
      <w:pPr>
        <w:ind w:left="380" w:hanging="254"/>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each of these stock options were vested and exercisable immediately upon the grant date.</w:t>
      </w:r>
    </w:p>
    <w:p>
      <w:pPr>
        <w:spacing w:after="0" w:line="36" w:lineRule="exact"/>
        <w:rPr>
          <w:rFonts w:ascii="Times New Roman" w:cs="Times New Roman" w:eastAsia="Times New Roman" w:hAnsi="Times New Roman"/>
          <w:sz w:val="18"/>
          <w:szCs w:val="18"/>
          <w:color w:val="auto"/>
        </w:rPr>
      </w:pPr>
    </w:p>
    <w:p>
      <w:pPr>
        <w:ind w:left="380" w:hanging="254"/>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12 equal quarterly installments commencing on September 30, 2023 such that they will be fully vested on June 30, 2026.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Hammer Employment Agreement</w:t>
      </w:r>
    </w:p>
    <w:p>
      <w:pPr>
        <w:spacing w:after="0" w:line="227" w:lineRule="exact"/>
        <w:rPr>
          <w:sz w:val="20"/>
          <w:szCs w:val="20"/>
          <w:color w:val="auto"/>
        </w:rPr>
      </w:pPr>
    </w:p>
    <w:p>
      <w:pPr>
        <w:jc w:val="both"/>
        <w:ind w:left="20" w:hanging="9"/>
        <w:spacing w:after="0" w:line="254" w:lineRule="auto"/>
        <w:rPr>
          <w:sz w:val="20"/>
          <w:szCs w:val="20"/>
          <w:color w:val="auto"/>
        </w:rPr>
      </w:pPr>
      <w:r>
        <w:rPr>
          <w:rFonts w:ascii="Times New Roman" w:cs="Times New Roman" w:eastAsia="Times New Roman" w:hAnsi="Times New Roman"/>
          <w:sz w:val="18"/>
          <w:szCs w:val="18"/>
          <w:color w:val="auto"/>
        </w:rPr>
        <w:t>Effective October 16, 2025, Mr. Hammer entered into an employment agreement with the Company in connection with his appointment as Chief Executive Officer and Chairman of the Board (the “Hammer Employment Agreement”). Pursuant to the terms of the Hammer Employment Agreement, Mr. Hammer will be an at-will employee after an initial employment term of six months. Mr. Hammer is entitled to an initial annual base salary of $330,000. Mr. Hammer is eligible for an annual cash incentive bonus and equity awards to be granted by our Board or Compensation Committee at its discretion. In addition, Mr. Hammer is entitled to participate in any retirement, paid time off, and health and welfare benefit plans, practices, policies, and arrangements the Company may offer. Mr. Hammer is also entitled to reimbursement for reasonable business and travel expenses incurred in connection with the performance of his duties, including reimbursement of office expenses not to exceed $3,000 per month. Consistent with the Company’s standard non-employee director compensation policy, Mr. Hammer will not be eligible to receive compensation for his role on our Board (including as Chairman of the Board) since he is an executive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Schaffner Employment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26, 2023, Mr. Schaffner entered into an amended and restated employment agreement with the Company in connection with his appointment as Chief Executive Officer (the “Schaffner Employment Agreement”). Pursuant to the terms of the Schaffner Employment Agreement, Mr. Schaffner had an initial employment term of one year, which was subject to automatic extension for additional one-year periods unless terminated by the Company or Mr. Schaffner. Mr. Schaffner was initially entitled to a base salary of $270,400 per year. Mr. Schaffner was eligible for an annual cash incentive bonus and equity awards to be granted by our Board or Compensation Committee at its discretion. In addition, Mr. Schaffner was entitled to participate in any retirement, paid time off, and health and welfare benefit plans, practices, policies and arrangements the Company offered. Mr. Schaffner was also entitled to reimbursement for reasonable business and travel expenses incurred in connection with the performance of his duties.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termination of the Schaffner Employment Agreement by the Company without Cause or a resignation for Good Reason (each as defined in the Schaffner Employment Agreement), Mr. Schaffner was entitled to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Shaffner Resignation and Severance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16, 2025, in connection with the closing of the Private Placement, Mr. Schaffner resigned as Chief Executive Officer and agreed to provide consulting services to the Company to assist in the orderly transition of his roles and responsibilities.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same date, Mr. Schaffner and the Company entered into a severance agreement, consulting agreement, and general release (the “Schaffner Severance Agreement”), pursuant to which Mr. Schaffner (a) agreed to provide consulting services through January 31, 2026, subject to extension upon mutual agreement, (b) received a lump sum severance payment equal to 24 months of his base salary then in effect, and (c) received a grant of 100,000 RSUs, which were vested in full upon issuance. The Schaffner Severance Agreement also provided for the termination of the Schaffner Employment Agreement and no additional payments or benefits were paid under the Schaffner Employment Agreement. The consulting services were terminated on January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 w:name="page15"/>
    <w:bookmarkEnd w:id="14"/>
    <w:p>
      <w:pPr>
        <w:ind w:right="340"/>
        <w:spacing w:after="0" w:line="282" w:lineRule="auto"/>
        <w:rPr>
          <w:sz w:val="20"/>
          <w:szCs w:val="20"/>
          <w:color w:val="auto"/>
        </w:rPr>
      </w:pPr>
      <w:r>
        <w:rPr>
          <w:rFonts w:ascii="Times New Roman" w:cs="Times New Roman" w:eastAsia="Times New Roman" w:hAnsi="Times New Roman"/>
          <w:sz w:val="18"/>
          <w:szCs w:val="18"/>
          <w:color w:val="auto"/>
        </w:rPr>
        <w:t>Following the resignation, Mr. Schaffner continued serving as a member of our Board, and became eligible to receive compensation consistent with the terms of the Company’s standard non-employee director compensation policy commencing on February 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Shoun Employment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26, 2023, Mr. Shoun entered into an amended and restated employment agreement with the Company in connection with his appointment as President and Chief Operating Officer (the “Shoun Employment Agreement”). Pursuant to the terms of the Shoun Employment Agreement, Mr. Shoun had an initial employment term of one year, which was subject to automatic extension for additional one-year periods unless terminated by the Company or Mr. Shoun. Mr. Shoun was initially entitled to a base salary of $270,400 per year. Mr. Schaffner was eligible for an annual cash incentive bonus and equity awards to be granted by our Board or Compensation Committee at its discretion. In addition, Mr. Shoun was entitled to participate in any retirement, paid time off, and health and welfare benefit plans, practices, policies, and arrangements the Company offered. Mr. Shoun was also entitled to reimbursement for reasonable business and travel expenses incurred in connection with the performance of his duties.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 termination of the Shoun Employment Agreement by the Company without Cause or a resignation for Good Reason (each as defined in the Shoun Employment Agreement), Mr. Shoun was entitled to be paid (a) his continued base salary for one year, (b) an amount equal to his annual target bonus for the year of termination, (c) any earned but unpaid bonuses, and (d) continued medical and dental benefits for up to one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Shoun Resignation and Severance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16, 2025, in connection with the closing of the Private Placement, Mr. Shoun resigned as President and Chairman of the Board. Mr. Shoun had previously resigned as Chief Operating Officer in April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same date, Mr. Shoun and the Company entered into a severance agreement and general release (the “Shoun Severance Agreement”), pursuant to which Mr. Shoun received (a) a lump sum severance payment equal to 24 months of his base salary then in effect, and (b) a grant of 100,000 RSUs, which were vested in full upon issuance. The Shoun Severance Agreement also provided for the termination of the Shoun Employment Agreement and no additional payments or benefits were paid under the Shoun Employment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Heagen Employment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April 1, 2025, Mr. Heagen entered into an employment agreement with the Company in connection with his appointment as Chief Operating Officer (the “Heagen Employment Agreement”). Pursuant to the terms of the Heagen Employment Agreement, Mr. Heagen has an initial employment term of one year, which shall be automatically extended for additional one-year periods commencing on the first anniversary of the effective date, and on each anniversary of the effective date thereafter, unless the Company or Mr. Heagen provide at least 60 days’ prior written notice before the next extension date. Mr. Heagen is initially entitled to a base salary of $180,000. Mr. Heagen is eligible for an annual cash incentive bonus and equity awards to be granted by our Board or Compensation Committee at its discretion. In addition, Mr. Heagen is entitled to participate in any retirement, paid time off, and health and welfare benefit plans, practices, policies, and arrangements the Company may offer. Mr. Heagen is also entitled to reimbursement for reasonable business and travel expenses incurred in connection with the performance of his duties,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Bowin Employment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September 3, 2025, Ms. Bowin entered into an amended and restated employment agreement with the Company in connection with her appointment as Chief Financial Officer (the “Bowin Employment Agreement”). Pursuant to the terms of the Bowin Employment Agreement, Ms. Bowin has an initial employment term of one year, which shall be automatically extended for additional one-year periods commencing on the first anniversary of the effective date, and on each anniversary of the effective date thereafter, unless the Company or Ms. Bowin provide at least 90 days’ prior written notice before the next extension date. Ms. Bowin is initially entitled to a base salary of $192,000. Ms. Bowin is eligible for an annual cash incentive bonus and equity awards to be granted by our Board or Compensation Committee at its discretion. In addition, Ms. Bowin is entitled to participate in any retirement, paid time off, and health and welfare benefit plans, practices, policies, and arrangements the Company may offer. Ms. Bowin is also entitled to reimbursement for reasonable business and travel expenses incurred in connection with the performance of her duties, and reimbursement of tuition and reasonable associated fees and costs, as well as personal income taxes incurred related to such reimbursements.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granted stock options and RSUs to our employees, executive officers, and non-employee directors pursuant to the terms of the 2021 Plan. We do not have any formal policy that requires us to grant, or avoid granting, stock options or RSUs on particular dates. The grant of equity awards pursuant to the 2021 Plan is discretionary and such awards are periodically granted to our named executive officers upon approval of the Compensation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schedule the grant of equity awards in anticipation of the release of material nonpublic information (“MNPI”), nor do we time the release of MNPI based on actual or anticipated equity grant dates. Furthermore, we do not time the disclosure of MNPI for the purpose of affecting the value of executive compensation.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did not take MNPI into account when determining the timing and terms of equity awards granted in 2025. During 2025, no grants were made to any of our named executive officers in the period beginning four business days before (a) the filing of a Quarterly Report on Form 10-Q or Annual Report on Form 10-K, or (b) the filing or furnishing of a Form 8-K that discloses MNPI, and ending one business day after the filing or furnishing of any such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Director Compensation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prior Non-Employee Director Compensation program, which was applicable for 2025, each non-employee director was initially entitled to receive an annual director fee of $50,000 paid in cash for service on our Board. In addition, if the director served as the chairperson of a committee of our Board, the director received additional annual fees paid in cash as follows:</w:t>
      </w:r>
    </w:p>
    <w:p>
      <w:pPr>
        <w:spacing w:after="0" w:line="176" w:lineRule="exact"/>
        <w:rPr>
          <w:sz w:val="20"/>
          <w:szCs w:val="20"/>
          <w:color w:val="auto"/>
        </w:rPr>
      </w:pPr>
    </w:p>
    <w:p>
      <w:pPr>
        <w:ind w:left="1300" w:hanging="96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our Audit Committee, $20,000;</w:t>
      </w:r>
    </w:p>
    <w:p>
      <w:pPr>
        <w:spacing w:after="0" w:line="157" w:lineRule="exact"/>
        <w:rPr>
          <w:rFonts w:ascii="Times New Roman" w:cs="Times New Roman" w:eastAsia="Times New Roman" w:hAnsi="Times New Roman"/>
          <w:sz w:val="18"/>
          <w:szCs w:val="18"/>
          <w:color w:val="auto"/>
        </w:rPr>
      </w:pPr>
    </w:p>
    <w:p>
      <w:pPr>
        <w:ind w:left="1300" w:hanging="96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our Compensation Committee, $15,000; and</w:t>
      </w:r>
    </w:p>
    <w:p>
      <w:pPr>
        <w:spacing w:after="0" w:line="144" w:lineRule="exact"/>
        <w:rPr>
          <w:rFonts w:ascii="Times New Roman" w:cs="Times New Roman" w:eastAsia="Times New Roman" w:hAnsi="Times New Roman"/>
          <w:sz w:val="18"/>
          <w:szCs w:val="18"/>
          <w:color w:val="auto"/>
        </w:rPr>
      </w:pPr>
    </w:p>
    <w:p>
      <w:pPr>
        <w:ind w:left="1300" w:hanging="96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Governance Committee, $10,000.</w:t>
      </w: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 fees were paid in quarterly installments on the first business day of each calendar quarter and prorated for any portion of a quarter that a director was not serving as a non-employee director or a chairperson of a committee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additional fees were paid for service as a member of any committee of our Board, or for attendance at Board or committee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were also eligible to be reimbursed for out-of-pocket expenses reasonably incurred by them in connection with service provided to our Board.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2025, our Board approved grants to each of our non-employee directors consisting of stock options to purchase 5,000 shares and 5,000 RSUs under the 2021 Plan. The equity grants were contingent upon stockholder approval of an increase in the number of shares available for issuance under the 2021 Plan. The equity grants were issued in July 2025, and were fully vested on the date of grant.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2025, we paid $60,000 in cash to each non-employee director in lieu of issuing additional equity awards to the directors in 2025. In addition, in September 2025, we paid an additional $60,000 in cash to each non-employee director in lieu of issuing equity awards for services provided in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the compensation paid to or earned by our non-employee directors during 2025 is set forth in the 2025 Director Compensation table below. Messrs. Hammer, Schaffner, and Shoun each served on our Board during 2025, but have not been included in the table because they did not receive any additional compensation for their service on our Board. Information regarding the compensation paid to these named executive officers is included in the Summary Compensation Table, the Outstanding Equity Awards at Fiscal Year-End Table, and the associated narrative disclosures above.</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2025 Director Compensation Table</w:t>
      </w:r>
    </w:p>
    <w:p>
      <w:pPr>
        <w:spacing w:after="0" w:line="227"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compensation paid to our non-employee directors during the year ended December 31, 2025. The amounts set forth in the table have been calculated in accordance with the requirements of applicable SEC rules, and do not necessarily reflect the amounts that have actually been paid to, or which may be realized by, our directors.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vMerge w:val="restart"/>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9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0"/>
                <w:szCs w:val="20"/>
                <w:b w:val="1"/>
                <w:bCs w:val="1"/>
                <w:color w:val="auto"/>
                <w:vertAlign w:val="superscript"/>
              </w:rPr>
              <w:t>(1)</w:t>
            </w:r>
          </w:p>
        </w:tc>
        <w:tc>
          <w:tcPr>
            <w:tcW w:w="2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20"/>
                <w:szCs w:val="20"/>
                <w:b w:val="1"/>
                <w:bCs w:val="1"/>
                <w:color w:val="auto"/>
                <w:w w:val="97"/>
                <w:vertAlign w:val="superscript"/>
              </w:rPr>
              <w:t>(2)</w:t>
            </w: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0"/>
                <w:szCs w:val="20"/>
                <w:b w:val="1"/>
                <w:bCs w:val="1"/>
                <w:color w:val="auto"/>
                <w:vertAlign w:val="superscript"/>
              </w:rPr>
              <w:t>(3)</w:t>
            </w: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ind w:left="80"/>
              <w:spacing w:after="0" w:line="250" w:lineRule="exact"/>
              <w:rPr>
                <w:sz w:val="20"/>
                <w:szCs w:val="20"/>
                <w:color w:val="auto"/>
              </w:rPr>
            </w:pPr>
            <w:r>
              <w:rPr>
                <w:rFonts w:ascii="Times New Roman" w:cs="Times New Roman" w:eastAsia="Times New Roman" w:hAnsi="Times New Roman"/>
                <w:sz w:val="17"/>
                <w:szCs w:val="17"/>
                <w:color w:val="auto"/>
              </w:rPr>
              <w:t>Scott Burell</w:t>
            </w:r>
            <w:r>
              <w:rPr>
                <w:rFonts w:ascii="Times New Roman" w:cs="Times New Roman" w:eastAsia="Times New Roman" w:hAnsi="Times New Roman"/>
                <w:sz w:val="28"/>
                <w:szCs w:val="28"/>
                <w:color w:val="auto"/>
                <w:vertAlign w:val="superscript"/>
              </w:rPr>
              <w:t>(4)</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22,717</w:t>
            </w: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82,717</w:t>
            </w:r>
          </w:p>
        </w:tc>
        <w:tc>
          <w:tcPr>
            <w:tcW w:w="0" w:type="dxa"/>
            <w:vAlign w:val="bottom"/>
          </w:tcPr>
          <w:p>
            <w:pPr>
              <w:spacing w:after="0"/>
              <w:rPr>
                <w:sz w:val="1"/>
                <w:szCs w:val="1"/>
                <w:color w:val="auto"/>
              </w:rPr>
            </w:pPr>
          </w:p>
        </w:tc>
      </w:tr>
      <w:tr>
        <w:trPr>
          <w:trHeight w:val="24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George Lefevre</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180,000</w:t>
            </w:r>
          </w:p>
        </w:tc>
        <w:tc>
          <w:tcPr>
            <w:tcW w:w="24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4,665</w:t>
            </w:r>
          </w:p>
        </w:tc>
        <w:tc>
          <w:tcPr>
            <w:tcW w:w="22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5,850</w:t>
            </w:r>
          </w:p>
        </w:tc>
        <w:tc>
          <w:tcPr>
            <w:tcW w:w="2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190,515</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Tien Q. Nguyen</w:t>
            </w:r>
          </w:p>
        </w:tc>
        <w:tc>
          <w:tcPr>
            <w:tcW w:w="13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185,000</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4,665</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5,850</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195,515</w:t>
            </w:r>
          </w:p>
        </w:tc>
        <w:tc>
          <w:tcPr>
            <w:tcW w:w="0" w:type="dxa"/>
            <w:vAlign w:val="bottom"/>
          </w:tcPr>
          <w:p>
            <w:pPr>
              <w:spacing w:after="0"/>
              <w:rPr>
                <w:sz w:val="1"/>
                <w:szCs w:val="1"/>
                <w:color w:val="auto"/>
              </w:rPr>
            </w:pPr>
          </w:p>
        </w:tc>
      </w:tr>
      <w:tr>
        <w:trPr>
          <w:trHeight w:val="256"/>
        </w:trPr>
        <w:tc>
          <w:tcPr>
            <w:tcW w:w="5200" w:type="dxa"/>
            <w:vAlign w:val="bottom"/>
            <w:gridSpan w:val="2"/>
          </w:tcPr>
          <w:p>
            <w:pPr>
              <w:ind w:left="80"/>
              <w:spacing w:after="0" w:line="256" w:lineRule="exact"/>
              <w:rPr>
                <w:sz w:val="20"/>
                <w:szCs w:val="20"/>
                <w:color w:val="auto"/>
              </w:rPr>
            </w:pPr>
            <w:r>
              <w:rPr>
                <w:rFonts w:ascii="Times New Roman" w:cs="Times New Roman" w:eastAsia="Times New Roman" w:hAnsi="Times New Roman"/>
                <w:sz w:val="18"/>
                <w:szCs w:val="18"/>
                <w:color w:val="auto"/>
              </w:rPr>
              <w:t>Brian Schaffner</w:t>
            </w:r>
            <w:r>
              <w:rPr>
                <w:rFonts w:ascii="Times New Roman" w:cs="Times New Roman" w:eastAsia="Times New Roman" w:hAnsi="Times New Roman"/>
                <w:sz w:val="29"/>
                <w:szCs w:val="29"/>
                <w:color w:val="auto"/>
                <w:vertAlign w:val="superscript"/>
              </w:rPr>
              <w:t>(5)</w:t>
            </w:r>
          </w:p>
        </w:tc>
        <w:tc>
          <w:tcPr>
            <w:tcW w:w="16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Steven M. Shum</w:t>
            </w:r>
          </w:p>
        </w:tc>
        <w:tc>
          <w:tcPr>
            <w:tcW w:w="13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190,000</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4,665</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5,850</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200,515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80" w:right="100" w:hanging="575"/>
        <w:spacing w:after="0" w:line="25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directors that served throughout 2025, the amounts include $60,000 of fees paid in cash in lieu of issuing additional equity awards to the directors in 2025. For those directors that served during 2024, the amounts include an additional $60,000 of fees paid in cash earned for services rendered during 2024, but which were not paid until 2025.</w:t>
      </w:r>
    </w:p>
    <w:p>
      <w:pPr>
        <w:spacing w:after="0" w:line="1" w:lineRule="exact"/>
        <w:rPr>
          <w:rFonts w:ascii="Times New Roman" w:cs="Times New Roman" w:eastAsia="Times New Roman" w:hAnsi="Times New Roman"/>
          <w:sz w:val="18"/>
          <w:szCs w:val="18"/>
          <w:color w:val="auto"/>
        </w:rPr>
      </w:pPr>
    </w:p>
    <w:p>
      <w:pPr>
        <w:jc w:val="both"/>
        <w:ind w:left="680" w:right="100" w:hanging="575"/>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the Original Report, which is incorporated herein by reference.</w:t>
      </w:r>
    </w:p>
    <w:p>
      <w:pPr>
        <w:spacing w:after="0" w:line="1"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grant-date fair value of RSUs granted during the applicable year computed in accordance with ASC Topic 718.</w:t>
      </w:r>
    </w:p>
    <w:p>
      <w:pPr>
        <w:spacing w:after="0" w:line="9"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Burell was appointed a member of our Board in October 2025 and his fees were prorated accordingly.</w:t>
      </w:r>
    </w:p>
    <w:p>
      <w:pPr>
        <w:spacing w:after="0" w:line="9" w:lineRule="exact"/>
        <w:rPr>
          <w:rFonts w:ascii="Times New Roman" w:cs="Times New Roman" w:eastAsia="Times New Roman" w:hAnsi="Times New Roman"/>
          <w:sz w:val="18"/>
          <w:szCs w:val="18"/>
          <w:color w:val="auto"/>
        </w:rPr>
      </w:pPr>
    </w:p>
    <w:p>
      <w:pPr>
        <w:jc w:val="both"/>
        <w:ind w:left="680" w:right="100" w:hanging="575"/>
        <w:spacing w:after="0" w:line="255"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Schaffner was paid consulting fees by the Company from the date of his resignation as Chief Executive Officer until the consulting services ended, and no fees were paid for Board service during that time. Mr. Schaffner became eligible to receive compensation consistent with the terms of the Company’s non-employee director compensation policy commencing on February 1, 2026.</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Equity Awards Held by Directors</w:t>
      </w:r>
    </w:p>
    <w:p>
      <w:pPr>
        <w:spacing w:after="0" w:line="22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number of stock options and RSUs held as of December 31, 2025 by each non-employee director who served during the year ended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vMerge w:val="restart"/>
          </w:tcPr>
          <w:p>
            <w:pPr>
              <w:spacing w:after="0"/>
              <w:rPr>
                <w:sz w:val="12"/>
                <w:szCs w:val="12"/>
                <w:color w:val="auto"/>
              </w:rPr>
            </w:pPr>
          </w:p>
        </w:tc>
        <w:tc>
          <w:tcPr>
            <w:tcW w:w="236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7"/>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2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4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Lefevre</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5,300</w:t>
            </w:r>
          </w:p>
        </w:tc>
        <w:tc>
          <w:tcPr>
            <w:tcW w:w="90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Tien Q. Nguyen</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5,000</w:t>
            </w:r>
          </w:p>
        </w:tc>
        <w:tc>
          <w:tcPr>
            <w:tcW w:w="9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Shum</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5,400</w:t>
            </w:r>
          </w:p>
        </w:tc>
        <w:tc>
          <w:tcPr>
            <w:tcW w:w="90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Messrs, Hammer, Schaffner and Shoun have been excluded from the table since they were each named executive officers for 2025. Information regarding their respective ownership of stock options and RSUs as of December 31, 2025 is set forth under the heading “Outstanding Equity Awards at Fiscal Year-End” above.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New Director Compensation Program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2025, our Board approved a Non-Employee Director Compensation Policy that is applicable to compensation paid to our non-employe directors for 2026 and until such time as it is revised or rescinded by our Board (the “New Director Compensation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New Director Compensation Program, each non-employee director will receive an annual director fee of $110,000 paid in cash for service on our Board. The chairperson of our Board will receive an additional cash retainer of $80,000 paid in cash, provided that the chairperson is a non-employee director. In addition, if the director serves as the chairperson of a committee of our Board, the director receives additional annual fees paid in cash as follows: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chairperson of our Audit Committee, $20,000;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chairperson of our Compensation Committee, $15,000;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chairperson of the Nominating and Governance Committee,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annual retainers described above will be paid by the Company in advance, no later than January 1st and July 1st each year, and will be prorated for any portion of the period that a director is not serving as a non-employee director or a chairperson of a committee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additional fees will be paid for service as a member of any committee of our Board, or for attendance at Board or committee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will also be eligible to be reimbursed for out-of-pocket expenses reasonably incurred by them in connection with service provided to our Board.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New Non-Employee Director Compensation Policy provides for annual awards of RSUs with a grant-date fair value equal to $60,000 to be granted on the day of the annual meeting to any non-employee director who serves on our Board as of the date of the annual meeting and will continue to serve as a non-employee director immediately following such meeting. The New Non-Employee Director Compensation Policy also provides for an initial award of RSUs with a grant-date fair value of $60,000 to be granted to a new director upon the date of his or her election or appointment to our Board, on any date other than the date of an annual meeting. Each annual and initial award of RSUs will vest upon the earlier of (a) the day immediately preceding the date of the first annual meeting following the date of grant, and (b) the first anniversary of the date of grant, subject to the non-employee director continuing in service on our Board through the vesting date. All annual and initial awards of RSUs will vest in full immediately prior to the occurrence of a Change in Control (as defined in the 2021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consistent with the terms of the New Non-Employee Director Compensation Policy, Mr. Burell was granted 40,000 RSUs under the 2021 Plan in connection with his appointment to our Board, which had a grant-date fair value equal to $60,000. The RSUs vest upon the earlier of (a) the day immediately preceding the date of the first annual meeting following the date of grant, and (b) the first anniversary of the date of grant, subject to Mr. Burell continuing to provide service to our Board through the vesting date.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8" w:name="page19"/>
    <w:bookmarkEnd w:id="18"/>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our initial public offering, we adopted the 2021 Incentive Award Plan and our 2021 Employee Stock Purchase Plan (the “2021 ESPP”). The following table summarizes equity compensation plan information for the 2021 Incentive Award Plan and the 2021 ESPP, which were both approved by stockholders, as a group, as of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 Exercise of</w:t>
            </w: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gridSpan w:val="3"/>
            <w:vMerge w:val="continue"/>
          </w:tcPr>
          <w:p>
            <w:pPr>
              <w:spacing w:after="0"/>
              <w:rPr>
                <w:sz w:val="12"/>
                <w:szCs w:val="12"/>
                <w:color w:val="auto"/>
              </w:rPr>
            </w:pPr>
          </w:p>
        </w:tc>
        <w:tc>
          <w:tcPr>
            <w:tcW w:w="17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3"/>
          </w:tcPr>
          <w:p>
            <w:pPr>
              <w:jc w:val="center"/>
              <w:ind w:right="120"/>
              <w:spacing w:after="0" w:line="245" w:lineRule="exact"/>
              <w:rPr>
                <w:sz w:val="20"/>
                <w:szCs w:val="20"/>
                <w:color w:val="auto"/>
              </w:rPr>
            </w:pPr>
            <w:r>
              <w:rPr>
                <w:rFonts w:ascii="Times New Roman" w:cs="Times New Roman" w:eastAsia="Times New Roman" w:hAnsi="Times New Roman"/>
                <w:sz w:val="14"/>
                <w:szCs w:val="14"/>
                <w:b w:val="1"/>
                <w:bCs w:val="1"/>
                <w:color w:val="auto"/>
              </w:rPr>
              <w:t>Outstanding Options</w:t>
            </w:r>
            <w:r>
              <w:rPr>
                <w:rFonts w:ascii="Times New Roman" w:cs="Times New Roman" w:eastAsia="Times New Roman" w:hAnsi="Times New Roman"/>
                <w:sz w:val="23"/>
                <w:szCs w:val="23"/>
                <w:b w:val="1"/>
                <w:bCs w:val="1"/>
                <w:color w:val="auto"/>
                <w:vertAlign w:val="superscript"/>
              </w:rPr>
              <w:t>(1)</w:t>
            </w: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900" w:type="dxa"/>
            <w:vAlign w:val="bottom"/>
            <w:gridSpan w:val="2"/>
          </w:tcPr>
          <w:p>
            <w:pPr>
              <w:jc w:val="center"/>
              <w:spacing w:after="0" w:line="245" w:lineRule="exact"/>
              <w:rPr>
                <w:sz w:val="20"/>
                <w:szCs w:val="20"/>
                <w:color w:val="auto"/>
              </w:rPr>
            </w:pPr>
            <w:r>
              <w:rPr>
                <w:rFonts w:ascii="Times New Roman" w:cs="Times New Roman" w:eastAsia="Times New Roman" w:hAnsi="Times New Roman"/>
                <w:sz w:val="14"/>
                <w:szCs w:val="14"/>
                <w:b w:val="1"/>
                <w:bCs w:val="1"/>
                <w:color w:val="auto"/>
                <w:w w:val="98"/>
              </w:rPr>
              <w:t>Future Issuance</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Borders>
              <w:bottom w:val="single" w:sz="8" w:color="CCEEFF"/>
            </w:tcBorders>
          </w:tcPr>
          <w:p>
            <w:pPr>
              <w:spacing w:after="0"/>
              <w:rPr>
                <w:sz w:val="15"/>
                <w:szCs w:val="15"/>
                <w:color w:val="auto"/>
              </w:rPr>
            </w:pPr>
          </w:p>
        </w:tc>
        <w:tc>
          <w:tcPr>
            <w:tcW w:w="316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3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214,604</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c>
          <w:tcPr>
            <w:tcW w:w="3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621,560</w:t>
            </w:r>
          </w:p>
        </w:tc>
        <w:tc>
          <w:tcPr>
            <w:tcW w:w="0" w:type="dxa"/>
            <w:vAlign w:val="bottom"/>
          </w:tcPr>
          <w:p>
            <w:pPr>
              <w:spacing w:after="0"/>
              <w:rPr>
                <w:sz w:val="1"/>
                <w:szCs w:val="1"/>
                <w:color w:val="auto"/>
              </w:rPr>
            </w:pPr>
          </w:p>
        </w:tc>
      </w:tr>
      <w:tr>
        <w:trPr>
          <w:trHeight w:val="198"/>
        </w:trPr>
        <w:tc>
          <w:tcPr>
            <w:tcW w:w="4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CEEFF"/>
            </w:tcBorders>
            <w:gridSpan w:val="2"/>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CCEEFF"/>
            </w:tcBorders>
            <w:gridSpan w:val="2"/>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214,604</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c>
          <w:tcPr>
            <w:tcW w:w="3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621,560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right="120" w:hanging="570"/>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stock appreciation rights outstanding pursuant to the 2021 Incentive Award Plan and 2021 ESPP. In addition, there are no outstanding warrants to purchase shares of our common stock.</w:t>
      </w:r>
    </w:p>
    <w:p>
      <w:pPr>
        <w:spacing w:after="0" w:line="161" w:lineRule="exact"/>
        <w:rPr>
          <w:rFonts w:ascii="Times New Roman" w:cs="Times New Roman" w:eastAsia="Times New Roman" w:hAnsi="Times New Roman"/>
          <w:sz w:val="18"/>
          <w:szCs w:val="18"/>
          <w:color w:val="auto"/>
        </w:rPr>
      </w:pPr>
    </w:p>
    <w:p>
      <w:pPr>
        <w:jc w:val="both"/>
        <w:ind w:left="680" w:right="100" w:hanging="570"/>
        <w:spacing w:after="0" w:line="26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shares reserved for issuance under our 2021 Incentive Award Plan and 2021 ESPP less the number of shares reported in the first column. The 2021 Incentive Award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29, 2026 as to: (1) each person (or group of affiliated persons) who is known by us to beneficially own more than 5% of the outstanding shares of our common stock; (2) each of our named executive officers; (3) each of our directors; and (4) all directors and executive officers as a group, as of April 29,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Expion360, 2025 SW Deerhound Avenue, Redmond, OR 97756.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April 29, 2026,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paragraph above and information included in footnotes (1) and (2) to the table below, percentage ownership of outstanding shares is based upon 11,438,298 shares of common stock outstanding as of April 29, 2026.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1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16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Outstanding</w:t>
            </w:r>
          </w:p>
        </w:tc>
      </w:tr>
      <w:tr>
        <w:trPr>
          <w:trHeight w:val="212"/>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21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4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7"/>
        </w:trPr>
        <w:tc>
          <w:tcPr>
            <w:tcW w:w="6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Pioneer Capital Anstalt</w:t>
            </w:r>
            <w:r>
              <w:rPr>
                <w:rFonts w:ascii="Times New Roman" w:cs="Times New Roman" w:eastAsia="Times New Roman" w:hAnsi="Times New Roman"/>
                <w:sz w:val="29"/>
                <w:szCs w:val="29"/>
                <w:color w:val="auto"/>
                <w:vertAlign w:val="superscript"/>
              </w:rPr>
              <w:t>(1)</w:t>
            </w:r>
          </w:p>
        </w:tc>
        <w:tc>
          <w:tcPr>
            <w:tcW w:w="2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606,060</w:t>
            </w:r>
          </w:p>
        </w:tc>
        <w:tc>
          <w:tcPr>
            <w:tcW w:w="2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5.03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Hammer (Chief Executive Officer and Chairman of the Board)</w:t>
            </w:r>
          </w:p>
        </w:tc>
        <w:tc>
          <w:tcPr>
            <w:tcW w:w="21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Shawna Bowin (Chief Financial Officer)</w:t>
            </w:r>
            <w:r>
              <w:rPr>
                <w:rFonts w:ascii="Times New Roman" w:cs="Times New Roman" w:eastAsia="Times New Roman" w:hAnsi="Times New Roman"/>
                <w:sz w:val="29"/>
                <w:szCs w:val="29"/>
                <w:color w:val="auto"/>
                <w:vertAlign w:val="superscript"/>
              </w:rPr>
              <w:t>(2)</w:t>
            </w:r>
          </w:p>
        </w:tc>
        <w:tc>
          <w:tcPr>
            <w:tcW w:w="2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109,230</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Burell (Independent Director)</w:t>
            </w:r>
          </w:p>
        </w:tc>
        <w:tc>
          <w:tcPr>
            <w:tcW w:w="21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George Lefevre (Independent Director)</w:t>
            </w:r>
            <w:r>
              <w:rPr>
                <w:rFonts w:ascii="Times New Roman" w:cs="Times New Roman" w:eastAsia="Times New Roman" w:hAnsi="Times New Roman"/>
                <w:sz w:val="29"/>
                <w:szCs w:val="29"/>
                <w:color w:val="auto"/>
                <w:vertAlign w:val="superscript"/>
              </w:rPr>
              <w:t>(3)</w:t>
            </w:r>
          </w:p>
        </w:tc>
        <w:tc>
          <w:tcPr>
            <w:tcW w:w="2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10,422</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Tien Q. Nguyen (Independent Director)</w:t>
            </w:r>
            <w:r>
              <w:rPr>
                <w:rFonts w:ascii="Times New Roman" w:cs="Times New Roman" w:eastAsia="Times New Roman" w:hAnsi="Times New Roman"/>
                <w:sz w:val="29"/>
                <w:szCs w:val="29"/>
                <w:color w:val="auto"/>
                <w:vertAlign w:val="superscript"/>
              </w:rPr>
              <w:t>(4)</w:t>
            </w:r>
          </w:p>
        </w:tc>
        <w:tc>
          <w:tcPr>
            <w:tcW w:w="2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10,122</w:t>
            </w:r>
          </w:p>
        </w:tc>
        <w:tc>
          <w:tcPr>
            <w:tcW w:w="2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Brian Schaffner (Director)</w:t>
            </w:r>
            <w:r>
              <w:rPr>
                <w:rFonts w:ascii="Times New Roman" w:cs="Times New Roman" w:eastAsia="Times New Roman" w:hAnsi="Times New Roman"/>
                <w:sz w:val="29"/>
                <w:szCs w:val="29"/>
                <w:color w:val="auto"/>
                <w:vertAlign w:val="superscript"/>
              </w:rPr>
              <w:t>(5)</w:t>
            </w:r>
          </w:p>
        </w:tc>
        <w:tc>
          <w:tcPr>
            <w:tcW w:w="2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160,535</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6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M. Shum (Independent Director)</w:t>
            </w:r>
            <w:r>
              <w:rPr>
                <w:rFonts w:ascii="Times New Roman" w:cs="Times New Roman" w:eastAsia="Times New Roman" w:hAnsi="Times New Roman"/>
                <w:sz w:val="29"/>
                <w:szCs w:val="29"/>
                <w:color w:val="auto"/>
                <w:vertAlign w:val="superscript"/>
              </w:rPr>
              <w:t>(6)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6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2"/>
                <w:szCs w:val="22"/>
                <w:color w:val="auto"/>
              </w:rPr>
            </w:pPr>
          </w:p>
        </w:tc>
      </w:tr>
      <w:tr>
        <w:trPr>
          <w:trHeight w:val="37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(eight persons)</w:t>
            </w:r>
            <w:r>
              <w:rPr>
                <w:rFonts w:ascii="Times New Roman" w:cs="Times New Roman" w:eastAsia="Times New Roman" w:hAnsi="Times New Roman"/>
                <w:sz w:val="29"/>
                <w:szCs w:val="29"/>
                <w:b w:val="1"/>
                <w:bCs w:val="1"/>
                <w:color w:val="auto"/>
                <w:vertAlign w:val="superscript"/>
              </w:rPr>
              <w:t>(7)</w:t>
            </w:r>
          </w:p>
        </w:tc>
        <w:tc>
          <w:tcPr>
            <w:tcW w:w="2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449,378</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3.89</w:t>
            </w:r>
          </w:p>
        </w:tc>
      </w:tr>
    </w:tbl>
    <w:p>
      <w:pPr>
        <w:ind w:left="1540" w:hanging="898"/>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40" w:lineRule="exact"/>
        <w:rPr>
          <w:rFonts w:ascii="Times New Roman" w:cs="Times New Roman" w:eastAsia="Times New Roman" w:hAnsi="Times New Roman"/>
          <w:sz w:val="18"/>
          <w:szCs w:val="18"/>
          <w:color w:val="auto"/>
        </w:rPr>
      </w:pPr>
    </w:p>
    <w:p>
      <w:pPr>
        <w:jc w:val="both"/>
        <w:ind w:left="620" w:right="120" w:hanging="501"/>
        <w:spacing w:after="0" w:line="258"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as of April 29, 2026, by Pioneer Capital Anstalt (“Pioneer”) based solely on information available to the Company as of that date. The securities consist of (i) 461,562 shares of Common Stock, and (ii) 144,498 shares of Common Stock underlying warrants to purchase Common Stock we issued and sold to the holder in the Private Placement. The securities may be deemed to be beneficially owned by Nicola Feuerstein, who exercises investment and voting control over the securities. The address of Pioneer is Abtswingertweg 1 9490 Vaduz, Liechtenstein.</w:t>
      </w:r>
    </w:p>
    <w:p>
      <w:pPr>
        <w:spacing w:after="0" w:line="210" w:lineRule="exact"/>
        <w:rPr>
          <w:rFonts w:ascii="Times New Roman" w:cs="Times New Roman" w:eastAsia="Times New Roman" w:hAnsi="Times New Roman"/>
          <w:sz w:val="18"/>
          <w:szCs w:val="18"/>
          <w:color w:val="auto"/>
        </w:rPr>
      </w:pPr>
    </w:p>
    <w:p>
      <w:pPr>
        <w:ind w:left="620" w:right="120" w:hanging="501"/>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104,370 shares of common stock owned directly by Ms. Bowin, and (ii) 4,860 shares of common stock which Ms. Bowin has the right to acquire upon the exercise of stock options exercisable within 60 days of April 29, 2026.</w:t>
      </w:r>
    </w:p>
    <w:p>
      <w:pPr>
        <w:spacing w:after="0" w:line="188" w:lineRule="exact"/>
        <w:rPr>
          <w:rFonts w:ascii="Times New Roman" w:cs="Times New Roman" w:eastAsia="Times New Roman" w:hAnsi="Times New Roman"/>
          <w:sz w:val="18"/>
          <w:szCs w:val="18"/>
          <w:color w:val="auto"/>
        </w:rPr>
      </w:pPr>
    </w:p>
    <w:p>
      <w:pPr>
        <w:ind w:left="620" w:right="120" w:hanging="501"/>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5,122 shares of common stock owned directly by Mr. Lefevre, and (ii) 5,300 shares of common stock which Mr. Lefevre has the right to acquire upon the exercise of stock options exercisable within 60 days of April 29, 2026.</w:t>
      </w:r>
    </w:p>
    <w:p>
      <w:pPr>
        <w:spacing w:after="0" w:line="188" w:lineRule="exact"/>
        <w:rPr>
          <w:rFonts w:ascii="Times New Roman" w:cs="Times New Roman" w:eastAsia="Times New Roman" w:hAnsi="Times New Roman"/>
          <w:sz w:val="18"/>
          <w:szCs w:val="18"/>
          <w:color w:val="auto"/>
        </w:rPr>
      </w:pPr>
    </w:p>
    <w:p>
      <w:pPr>
        <w:ind w:left="620" w:right="120" w:hanging="501"/>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5,122 shares of common stock owned directly by Mr. Nguyen, and (ii) 5,000 shares of common stock which Mr. Nguyen has the right to acquire upon the exercise of stock options exercisable within 60 days of April 29, 2026.</w:t>
      </w:r>
    </w:p>
    <w:p>
      <w:pPr>
        <w:spacing w:after="0" w:line="188" w:lineRule="exact"/>
        <w:rPr>
          <w:rFonts w:ascii="Times New Roman" w:cs="Times New Roman" w:eastAsia="Times New Roman" w:hAnsi="Times New Roman"/>
          <w:sz w:val="18"/>
          <w:szCs w:val="18"/>
          <w:color w:val="auto"/>
        </w:rPr>
      </w:pPr>
    </w:p>
    <w:p>
      <w:pPr>
        <w:ind w:left="620" w:right="120" w:hanging="501"/>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115,057 shares of common stock owned directly by Mr. Schaffner, and (ii) 45,478 shares of common stock which Mr. Schaffner has the right to acquire upon the exercise of stock options exercisable within 60 days of April 29, 2026.</w:t>
      </w:r>
    </w:p>
    <w:p>
      <w:pPr>
        <w:spacing w:after="0" w:line="188" w:lineRule="exact"/>
        <w:rPr>
          <w:rFonts w:ascii="Times New Roman" w:cs="Times New Roman" w:eastAsia="Times New Roman" w:hAnsi="Times New Roman"/>
          <w:sz w:val="18"/>
          <w:szCs w:val="18"/>
          <w:color w:val="auto"/>
        </w:rPr>
      </w:pPr>
    </w:p>
    <w:p>
      <w:pPr>
        <w:ind w:left="620" w:right="120" w:hanging="501"/>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5,122 shares of common stock owned directly by Mr. Shum, and (ii) 5,400 shares of common stock which Mr. Shum has the right to acquire upon the exercise of stock options exercisable within 60 days of April 29, 2026.</w:t>
      </w:r>
    </w:p>
    <w:p>
      <w:pPr>
        <w:spacing w:after="0" w:line="188" w:lineRule="exact"/>
        <w:rPr>
          <w:rFonts w:ascii="Times New Roman" w:cs="Times New Roman" w:eastAsia="Times New Roman" w:hAnsi="Times New Roman"/>
          <w:sz w:val="18"/>
          <w:szCs w:val="18"/>
          <w:color w:val="auto"/>
        </w:rPr>
      </w:pPr>
    </w:p>
    <w:p>
      <w:pPr>
        <w:ind w:left="620" w:hanging="501"/>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directors and current executive officers.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since January 1, 2024, to which we were a party or will be a party, in which:</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at year-end for the last two completed years; and</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voting securities, or any member of the immediate family of any of the foregoing persons, had or will have a direct or indirect material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meeting these criteria to which we have been or will be a party other than certain compensation, employment, change in control and similar arrangements, which are described under the sections titled “Executive Compensation”, “Director Compensation,” and “Family Relationships and Other Arrangements.”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2018, the Company issued an unsecured promissory note owed to H. Porter Burns, a holder of approximately 0.6% of our outstanding capital stock as of March 27, 2023, and business partner at the time to John Yozamp, our Co-Founder and Chief Business Development Officer at the time (the “Porter Burns Note”), in the principal amount of $500,000. The Porter Burns Note requires monthly interest-only payment at 10% per annum. The Porter Burns Note had an original maturity date of August 1, 2023, but was extended to mature on September 1, 2024 by agreement dated July 2, 2024. As of August 8, 2024, the Porter Burns Note was paid in full.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2019, the Company issued an unsecured promissory note owed to James Yozamp, Jr., a holder of approximately 8.1% of our outstanding capital stock as of March 27, 2023, and brother to John Yozamp, our Co-Founder and former Chief Business Development Officer (the “James Yozamp Note”) in the principal amount of $200,000. The James Yozamp Note requires monthly interest only payments at 10% per annum. The James Yozamp Note matures on December 31, 2024. As of August 8, 2024, the James Yozamp Note was paid in full.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Nevada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The form of indemnification agreement has been filed as an exhibit to the Original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Related-Party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written related-party transaction policy effective January 1, 2022 (the “Related-Party Transaction Policy”), setting forth the policies and procedures for the review and approval or ratification of related-person transactions. This Related-Party Transaction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arm’s-length transaction and the extent of the related person’s interest in the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A majority of our directors satisfy the criteria for “independent directors,” under applicable Nasdaq rules. The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to the Company, and otherwise satisfy the independence requirements under applicable Nasdaq rules, will be considered “independent directors.”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 w:name="page22"/>
    <w:bookmarkEnd w:id="21"/>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Under Nasdaq rules, a majority of a listed company’s board must be comprised of independent directors. In addition, Nasdaq rules require that, subject to specified exceptions, each member of a listed company’s audit, compensation and nominations committees be independent and that audit committee members also satisfy independence criteria set forth in Rule 10A-3 under the Exchange Act and that compensation committee members satisfy independence criteria set forth in Rule 10C-1 under the Exchange Act and related Nasdaq rules.</w:t>
      </w:r>
    </w:p>
    <w:p>
      <w:pPr>
        <w:spacing w:after="0" w:line="180" w:lineRule="exact"/>
        <w:rPr>
          <w:sz w:val="20"/>
          <w:szCs w:val="20"/>
          <w:color w:val="auto"/>
        </w:rPr>
      </w:pPr>
    </w:p>
    <w:p>
      <w:pPr>
        <w:jc w:val="both"/>
        <w:ind w:left="20" w:hanging="9"/>
        <w:spacing w:after="0" w:line="258" w:lineRule="auto"/>
        <w:rPr>
          <w:sz w:val="20"/>
          <w:szCs w:val="20"/>
          <w:color w:val="auto"/>
        </w:rPr>
      </w:pPr>
      <w:r>
        <w:rPr>
          <w:rFonts w:ascii="Times New Roman" w:cs="Times New Roman" w:eastAsia="Times New Roman" w:hAnsi="Times New Roman"/>
          <w:sz w:val="18"/>
          <w:szCs w:val="18"/>
          <w:color w:val="auto"/>
        </w:rPr>
        <w:t>Under Nasdaq rules, a director will only qualify as an “independent director” if, in the opinion of the listed company’s board,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83" w:lineRule="exact"/>
        <w:rPr>
          <w:sz w:val="20"/>
          <w:szCs w:val="20"/>
          <w:color w:val="auto"/>
        </w:rPr>
      </w:pPr>
    </w:p>
    <w:p>
      <w:pPr>
        <w:jc w:val="both"/>
        <w:ind w:left="20" w:hanging="9"/>
        <w:spacing w:after="0" w:line="258" w:lineRule="auto"/>
        <w:rPr>
          <w:sz w:val="20"/>
          <w:szCs w:val="20"/>
          <w:color w:val="auto"/>
        </w:rPr>
      </w:pPr>
      <w:r>
        <w:rPr>
          <w:rFonts w:ascii="Times New Roman" w:cs="Times New Roman" w:eastAsia="Times New Roman" w:hAnsi="Times New Roman"/>
          <w:sz w:val="18"/>
          <w:szCs w:val="18"/>
          <w:color w:val="auto"/>
        </w:rPr>
        <w:t>In accordance with Rule 10C-1 under the Exchange Act and applicable Nasdaq rules, in affirmatively determining the independence of any director who will serve on a company’s compensation committee, the company’s board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of such director (including any consulting, advisory or other compensatory fee paid by such company to the director), and whether the director is affiliated with the company or any of its subsidiaries or affiliates.</w:t>
      </w:r>
    </w:p>
    <w:p>
      <w:pPr>
        <w:spacing w:after="0" w:line="183"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Our Board has affirmatively determined that Scott Burell, George Lefevre, Tien Nguyen, and Steven M. Shum are independent directors under applicable Nasdaq and Exchange Act rules.</w:t>
      </w:r>
    </w:p>
    <w:p>
      <w:pPr>
        <w:spacing w:after="0" w:line="162"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As a result, a majority of our directors are independent, as required under applicable Nasdaq rules. As required under applicable Nasdaq rules, we anticipate that our independent directors will meet in regularly scheduled executive sessions at which only independent directors are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Joseph Hammer, our Chief Executive Officer, also serves as Chairman of the Board. Currently, our Board does not have a Lead Independent Director. Although our Board may assess the appropriate leadership structure from time to time in light of internal and external events or developments and reserves the right to make changes in the future, it believes that the current structure is appropriate at this time given the size and experience of our Board, as well as the background and experience of management. Our Board does not believe that having the Chief Executive Officer serve as Chairman of the Board materially impacts its process for risk oversight because Board committees (comprised entirely of independent directors during the year ended December 31, 2025) play the central role in risk oversight.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M&amp;K CPAS PLLC, Houston, Texas, PCAOB ID #2738.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category of service, the fees incurred in engagements performed by M&amp;K CPAS PLLC, our independent registered public accounting firm, for professional services rendered to the Company for the years ended December 31, 2025 and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21"/>
                <w:szCs w:val="21"/>
                <w:color w:val="auto"/>
              </w:rPr>
            </w:pPr>
          </w:p>
        </w:tc>
      </w:tr>
      <w:tr>
        <w:trPr>
          <w:trHeight w:val="237"/>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135,842</w:t>
            </w:r>
          </w:p>
        </w:tc>
        <w:tc>
          <w:tcPr>
            <w:tcW w:w="144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122,074</w:t>
            </w:r>
          </w:p>
        </w:tc>
      </w:tr>
      <w:tr>
        <w:trPr>
          <w:trHeight w:val="243"/>
        </w:trPr>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21"/>
                <w:szCs w:val="21"/>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r>
      <w:tr>
        <w:trPr>
          <w:trHeight w:val="243"/>
        </w:trPr>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21"/>
                <w:szCs w:val="21"/>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Audit-related fees include fees for assurance and related services that are reasonably related to the performance of the audit or review of our financial statements. There were no audit-related fees for the years ended December 31, 2025 and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fees include fees for tax compliance, tax advice, and tax planning. Tax fees for the years ended December 31, 2025 and 2024 are incurred for services rendered by M&amp;K CPAS PLLC.</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fees for services rendered by M&amp;K CPAS PLLC incurred during the years ended December 31, 2025 and 2024 other than those disclosed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3" w:name="page24"/>
    <w:bookmarkEnd w:id="2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are included in the “Index to the Financial Statements,” which appear on page F-1 of the Original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Amendment No. 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30"/>
        </w:trPr>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40" w:type="dxa"/>
            <w:vAlign w:val="bottom"/>
            <w:gridSpan w:val="3"/>
            <w:vMerge w:val="continue"/>
          </w:tcPr>
          <w:p>
            <w:pPr>
              <w:spacing w:after="0"/>
              <w:rPr>
                <w:sz w:val="9"/>
                <w:szCs w:val="9"/>
                <w:color w:val="auto"/>
              </w:rPr>
            </w:pPr>
          </w:p>
        </w:tc>
        <w:tc>
          <w:tcPr>
            <w:tcW w:w="2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3</w:t>
            </w:r>
          </w:p>
        </w:tc>
        <w:tc>
          <w:tcPr>
            <w:tcW w:w="60" w:type="dxa"/>
            <w:vAlign w:val="bottom"/>
          </w:tcPr>
          <w:p>
            <w:pPr>
              <w:spacing w:after="0"/>
              <w:rPr>
                <w:sz w:val="14"/>
                <w:szCs w:val="14"/>
                <w:color w:val="auto"/>
              </w:rPr>
            </w:pPr>
          </w:p>
        </w:tc>
        <w:tc>
          <w:tcPr>
            <w:tcW w:w="1050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and 15d-14(a) under the Exchange Act, as adopted pursuant to Section</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75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4</w:t>
            </w:r>
          </w:p>
        </w:tc>
        <w:tc>
          <w:tcPr>
            <w:tcW w:w="60" w:type="dxa"/>
            <w:vAlign w:val="bottom"/>
          </w:tcPr>
          <w:p>
            <w:pPr>
              <w:spacing w:after="0"/>
              <w:rPr>
                <w:sz w:val="17"/>
                <w:szCs w:val="17"/>
                <w:color w:val="auto"/>
              </w:rPr>
            </w:pPr>
          </w:p>
        </w:tc>
        <w:tc>
          <w:tcPr>
            <w:tcW w:w="10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 and 15d-14(a) under the Exchange Act, as adopted pursuant to Section 302</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5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Files*</w:t>
            </w:r>
          </w:p>
        </w:tc>
        <w:tc>
          <w:tcPr>
            <w:tcW w:w="7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820" w:firstLine="8"/>
        <w:spacing w:after="0" w:line="532" w:lineRule="auto"/>
        <w:tabs>
          <w:tab w:leader="none" w:pos="7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Expion360 Inc.</w:t>
            </w:r>
          </w:p>
        </w:tc>
      </w:tr>
      <w:tr>
        <w:trPr>
          <w:trHeight w:val="513"/>
        </w:trPr>
        <w:tc>
          <w:tcPr>
            <w:tcW w:w="3800" w:type="dxa"/>
            <w:vAlign w:val="bottom"/>
          </w:tcPr>
          <w:p>
            <w:pPr>
              <w:spacing w:after="0"/>
              <w:rPr>
                <w:sz w:val="24"/>
                <w:szCs w:val="24"/>
                <w:color w:val="auto"/>
              </w:rPr>
            </w:pPr>
          </w:p>
        </w:tc>
        <w:tc>
          <w:tcPr>
            <w:tcW w:w="74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Joseph Hammer</w:t>
            </w:r>
          </w:p>
        </w:tc>
      </w:tr>
      <w:tr>
        <w:trPr>
          <w:trHeight w:val="205"/>
        </w:trPr>
        <w:tc>
          <w:tcPr>
            <w:tcW w:w="3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000" w:type="dxa"/>
            <w:vAlign w:val="bottom"/>
            <w:tcBorders>
              <w:top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Joseph Hammer</w:t>
            </w:r>
          </w:p>
        </w:tc>
      </w:tr>
      <w:tr>
        <w:trPr>
          <w:trHeight w:val="214"/>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44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Amendment No. 1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280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rPr>
              <w:t>/s/ Joseph Hammer</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Directors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Joseph Hammer</w:t>
            </w:r>
          </w:p>
        </w:tc>
        <w:tc>
          <w:tcPr>
            <w:tcW w:w="120" w:type="dxa"/>
            <w:vAlign w:val="bottom"/>
          </w:tcPr>
          <w:p>
            <w:pPr>
              <w:spacing w:after="0"/>
              <w:rPr>
                <w:sz w:val="19"/>
                <w:szCs w:val="19"/>
                <w:color w:val="auto"/>
              </w:rPr>
            </w:pPr>
          </w:p>
        </w:tc>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w w:val="99"/>
              </w:rPr>
              <w:t>/s/ Shawna Bowin</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Shawna Bowin</w:t>
            </w:r>
          </w:p>
        </w:tc>
        <w:tc>
          <w:tcPr>
            <w:tcW w:w="120" w:type="dxa"/>
            <w:vAlign w:val="bottom"/>
          </w:tcPr>
          <w:p>
            <w:pPr>
              <w:spacing w:after="0"/>
              <w:rPr>
                <w:sz w:val="19"/>
                <w:szCs w:val="19"/>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Scott Burell</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George Lefevre</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Tien Q. Nguyen</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Brian Schaffner</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0"/>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Steven M. Shum</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Joseph Hammer, Attorney-in-Fact</w:t>
            </w: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580" w:type="dxa"/>
            <w:vAlign w:val="bottom"/>
            <w:tcBorders>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tcPr>
          <w:p>
            <w:pPr>
              <w:spacing w:after="0"/>
              <w:rPr>
                <w:sz w:val="24"/>
                <w:szCs w:val="24"/>
                <w:color w:val="auto"/>
              </w:rPr>
            </w:pPr>
          </w:p>
        </w:tc>
        <w:tc>
          <w:tcPr>
            <w:tcW w:w="4400" w:type="dxa"/>
            <w:vAlign w:val="bottom"/>
            <w:tcBorders>
              <w:top w:val="single" w:sz="8" w:color="auto"/>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Borders>
              <w:top w:val="single" w:sz="8" w:color="auto"/>
              <w:bottom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OF THE SECURITIES EXCHANGE ACT OF 1934, AS AMENDED,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Hammer, certify that:</w:t>
      </w:r>
    </w:p>
    <w:p>
      <w:pPr>
        <w:spacing w:after="0" w:line="225" w:lineRule="exact"/>
        <w:rPr>
          <w:sz w:val="20"/>
          <w:szCs w:val="20"/>
          <w:color w:val="auto"/>
        </w:rPr>
      </w:pPr>
    </w:p>
    <w:p>
      <w:pPr>
        <w:ind w:left="540" w:hanging="168"/>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on Form 10-K/A to the Annual Report on Form 10-K of Expion360 Inc.;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540" w:hanging="168"/>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Joseph Hammer</w:t>
            </w:r>
          </w:p>
        </w:tc>
      </w:tr>
      <w:tr>
        <w:trPr>
          <w:trHeight w:val="191"/>
        </w:trPr>
        <w:tc>
          <w:tcPr>
            <w:tcW w:w="7220" w:type="dxa"/>
            <w:vAlign w:val="bottom"/>
          </w:tcPr>
          <w:p>
            <w:pPr>
              <w:spacing w:after="0"/>
              <w:rPr>
                <w:sz w:val="16"/>
                <w:szCs w:val="16"/>
                <w:color w:val="auto"/>
              </w:rPr>
            </w:pPr>
          </w:p>
        </w:tc>
        <w:tc>
          <w:tcPr>
            <w:tcW w:w="3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Joseph Hammer</w:t>
            </w:r>
          </w:p>
        </w:tc>
      </w:tr>
      <w:tr>
        <w:trPr>
          <w:trHeight w:val="216"/>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w:t>
            </w:r>
          </w:p>
        </w:tc>
      </w:tr>
      <w:tr>
        <w:trPr>
          <w:trHeight w:val="214"/>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236"/>
        </w:trPr>
        <w:tc>
          <w:tcPr>
            <w:tcW w:w="722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OF THE SECURITIES EXCHANGE ACT OF 1934, AS AMENDED,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Shawna Bowin, certify that:</w:t>
      </w:r>
    </w:p>
    <w:p>
      <w:pPr>
        <w:spacing w:after="0" w:line="225" w:lineRule="exact"/>
        <w:rPr>
          <w:sz w:val="20"/>
          <w:szCs w:val="20"/>
          <w:color w:val="auto"/>
        </w:rPr>
      </w:pPr>
    </w:p>
    <w:p>
      <w:pPr>
        <w:ind w:left="540" w:hanging="168"/>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on Form 10-K/A to the Annual Report on Form 10-K of Expion360 Inc.;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540" w:hanging="168"/>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191"/>
        </w:trPr>
        <w:tc>
          <w:tcPr>
            <w:tcW w:w="7220" w:type="dxa"/>
            <w:vAlign w:val="bottom"/>
          </w:tcPr>
          <w:p>
            <w:pPr>
              <w:spacing w:after="0"/>
              <w:rPr>
                <w:sz w:val="16"/>
                <w:szCs w:val="16"/>
                <w:color w:val="auto"/>
              </w:rPr>
            </w:pPr>
          </w:p>
        </w:tc>
        <w:tc>
          <w:tcPr>
            <w:tcW w:w="3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Shawna Bowin</w:t>
            </w:r>
          </w:p>
        </w:tc>
      </w:tr>
      <w:tr>
        <w:trPr>
          <w:trHeight w:val="214"/>
        </w:trPr>
        <w:tc>
          <w:tcPr>
            <w:tcW w:w="72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22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lvl w:ilvl="1">
      <w:lvlJc w:val="left"/>
      <w:lvlText w:val="(%2)"/>
      <w:numFmt w:val="decimal"/>
      <w:start w:val="1"/>
    </w:lvl>
  </w:abstractNum>
  <w:abstractNum w:abstractNumId="4">
    <w:nsid w:val="4DB127F8"/>
    <w:multiLevelType w:val="hybridMultilevel"/>
    <w:lvl w:ilvl="0">
      <w:lvlJc w:val="left"/>
      <w:lvlText w:val="(%1)"/>
      <w:numFmt w:val="decimal"/>
      <w:start w:val="2"/>
    </w:lvl>
    <w:lvl w:ilvl="1">
      <w:lvlJc w:val="left"/>
      <w:lvlText w:val="%2"/>
      <w:numFmt w:val="decimal"/>
      <w:start w:val="1"/>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lvl>
    <w:lvl w:ilvl="1">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2026-04-30T16:41:45Z</dcterms:created>
  <dcterms:modified xsi:type="dcterms:W3CDTF">2026-04-30T16:41:45Z</dcterms:modified>
</cp:coreProperties>
</file>